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0218A">
      <w:pPr>
        <w:spacing w:line="560" w:lineRule="exact"/>
        <w:jc w:val="center"/>
        <w:rPr>
          <w:rFonts w:hint="eastAsia" w:ascii="黑体" w:hAnsi="黑体" w:eastAsia="黑体" w:cs="黑体"/>
          <w:sz w:val="36"/>
          <w:szCs w:val="36"/>
        </w:rPr>
      </w:pPr>
      <w:bookmarkStart w:id="1" w:name="_GoBack"/>
      <w:bookmarkEnd w:id="1"/>
      <w:r>
        <w:rPr>
          <w:rFonts w:hint="eastAsia" w:ascii="黑体" w:hAnsi="黑体" w:eastAsia="黑体" w:cs="黑体"/>
          <w:sz w:val="36"/>
          <w:szCs w:val="36"/>
        </w:rPr>
        <w:t>北京医药职工大学</w:t>
      </w:r>
      <w:r>
        <w:rPr>
          <w:rFonts w:hint="eastAsia" w:ascii="黑体" w:hAnsi="黑体" w:eastAsia="黑体" w:cs="黑体"/>
          <w:sz w:val="36"/>
          <w:szCs w:val="36"/>
          <w:lang w:eastAsia="zh-CN"/>
        </w:rPr>
        <w:t>（中国北京同仁堂（集团）有限责任公司党校）</w:t>
      </w:r>
      <w:r>
        <w:rPr>
          <w:rFonts w:hint="eastAsia" w:ascii="黑体" w:hAnsi="黑体" w:eastAsia="黑体" w:cs="黑体"/>
          <w:sz w:val="36"/>
          <w:szCs w:val="36"/>
        </w:rPr>
        <w:t>专业教师实践教学能力提升</w:t>
      </w:r>
    </w:p>
    <w:p w14:paraId="5813CD80">
      <w:pPr>
        <w:spacing w:line="560" w:lineRule="exact"/>
        <w:jc w:val="center"/>
        <w:rPr>
          <w:rFonts w:hint="eastAsia" w:ascii="黑体" w:hAnsi="黑体" w:eastAsia="黑体" w:cs="黑体"/>
          <w:sz w:val="36"/>
          <w:szCs w:val="36"/>
        </w:rPr>
      </w:pPr>
      <w:r>
        <w:rPr>
          <w:rFonts w:hint="eastAsia" w:ascii="黑体" w:hAnsi="黑体" w:eastAsia="黑体" w:cs="黑体"/>
          <w:sz w:val="36"/>
          <w:szCs w:val="36"/>
        </w:rPr>
        <w:t>项目</w:t>
      </w:r>
      <w:r>
        <w:rPr>
          <w:rFonts w:hint="eastAsia" w:ascii="黑体" w:hAnsi="黑体" w:eastAsia="黑体" w:cs="黑体"/>
          <w:sz w:val="36"/>
          <w:szCs w:val="36"/>
          <w:lang w:eastAsia="zh-CN"/>
        </w:rPr>
        <w:t>支出</w:t>
      </w:r>
      <w:r>
        <w:rPr>
          <w:rFonts w:hint="eastAsia" w:ascii="黑体" w:hAnsi="黑体" w:eastAsia="黑体" w:cs="黑体"/>
          <w:sz w:val="36"/>
          <w:szCs w:val="36"/>
        </w:rPr>
        <w:t>绩效评价报告</w:t>
      </w:r>
    </w:p>
    <w:p w14:paraId="3BADBFEB">
      <w:pPr>
        <w:spacing w:line="600" w:lineRule="exact"/>
        <w:ind w:firstLine="640" w:firstLineChars="200"/>
        <w:rPr>
          <w:rFonts w:hint="eastAsia" w:ascii="Times New Roman" w:hAnsi="Times New Roman" w:eastAsia="黑体" w:cs="黑体"/>
          <w:sz w:val="32"/>
          <w:szCs w:val="32"/>
        </w:rPr>
      </w:pPr>
    </w:p>
    <w:p w14:paraId="19359FFF">
      <w:pPr>
        <w:spacing w:line="60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一、基本情况</w:t>
      </w:r>
    </w:p>
    <w:p w14:paraId="3ECA2E1B">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（一）项目概况</w:t>
      </w:r>
    </w:p>
    <w:p w14:paraId="072E0A48">
      <w:pPr>
        <w:spacing w:line="600" w:lineRule="exact"/>
        <w:ind w:firstLine="640" w:firstLineChars="200"/>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1. </w:t>
      </w:r>
      <w:r>
        <w:rPr>
          <w:rFonts w:hint="eastAsia" w:ascii="方正仿宋_GB2312" w:hAnsi="方正仿宋_GB2312" w:eastAsia="方正仿宋_GB2312" w:cs="方正仿宋_GB2312"/>
          <w:sz w:val="32"/>
          <w:szCs w:val="32"/>
        </w:rPr>
        <w:t>项目背景</w:t>
      </w:r>
    </w:p>
    <w:p w14:paraId="029494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北京医药职工大学（中国北京同仁堂（集团）有限责任公司党校）承担医药行业专科、</w:t>
      </w:r>
      <w:r>
        <w:rPr>
          <w:rFonts w:hint="eastAsia" w:ascii="方正仿宋_GB2312" w:hAnsi="方正仿宋_GB2312" w:eastAsia="方正仿宋_GB2312" w:cs="方正仿宋_GB2312"/>
          <w:sz w:val="32"/>
          <w:szCs w:val="32"/>
          <w:lang w:eastAsia="zh-CN"/>
        </w:rPr>
        <w:t>本科</w:t>
      </w:r>
      <w:r>
        <w:rPr>
          <w:rFonts w:hint="eastAsia" w:ascii="方正仿宋_GB2312" w:hAnsi="方正仿宋_GB2312" w:eastAsia="方正仿宋_GB2312" w:cs="方正仿宋_GB2312"/>
          <w:sz w:val="32"/>
          <w:szCs w:val="32"/>
        </w:rPr>
        <w:t>学历教育，培养高级技术应用人才，以及相关专业技能培训、技能等级认定；开展党员、干部教育培训等</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定位于医药继续教育及职业技能培训，以医药行业需求为导向，根据社会需求、用人单位需求和学生需求，致力于培养职业技能型及应用型人才</w:t>
      </w:r>
      <w:r>
        <w:rPr>
          <w:rFonts w:hint="eastAsia" w:ascii="方正仿宋_GB2312" w:hAnsi="方正仿宋_GB2312" w:eastAsia="方正仿宋_GB2312" w:cs="方正仿宋_GB2312"/>
          <w:sz w:val="32"/>
          <w:szCs w:val="32"/>
          <w:lang w:eastAsia="zh-CN"/>
        </w:rPr>
        <w:t>。为了适应医药行业的迅猛发展，学校提出了加强内涵建设，提高教学质量，促进学校发展的工作目标，确定以“医药人才培养模式改革”为着力点，全力推进医药人才培养模式的改革。</w:t>
      </w:r>
    </w:p>
    <w:p w14:paraId="7D5002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医药教育的发展离不开一支高素质的专业教师队伍，教师队伍的质量是办好高等人才教育的关键，而教师实践教学能力的高低直接影响着学生的实践水平和职业素养。道地药材产区蕴含着丰富的实践教学资源，是提升教师实践能力的理想场所。为此，学校开展了教师实践教学能力提升项目，通过每年到道地药材产区学习的实践锻炼，了解了部分中药在种植、采收、加工、炮制、鉴定等方面的内容及各地特色中医药文化，解决了部分教学中遇到的疑难问题，提高了实践操作能力和专业技术素质，打造了一支结构合理、师德高尚、专业理论水平高、实践教学能力强、在教育教学工作中起骨干示范作用的“双师型”优秀教师队伍。</w:t>
      </w:r>
    </w:p>
    <w:p w14:paraId="01FAEB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2024年，学校根据各专业的建设规划和教师队伍发展需求，组织相关专家进行了充分的调研和论证，提出了教师到道地药材产区学习，增强实践教学能力提升项目的立项申请，并获得了上级主管部门的审批和资金支持。</w:t>
      </w:r>
    </w:p>
    <w:p w14:paraId="2FC3C32A">
      <w:pPr>
        <w:numPr>
          <w:ilvl w:val="0"/>
          <w:numId w:val="1"/>
        </w:numPr>
        <w:spacing w:line="600" w:lineRule="exact"/>
        <w:ind w:firstLine="640" w:firstLineChars="200"/>
        <w:outlineLvl w:val="0"/>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lang w:eastAsia="zh-CN"/>
        </w:rPr>
        <w:t>项目主要内容</w:t>
      </w:r>
    </w:p>
    <w:p w14:paraId="57F2B3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2024年学校依托北京医药行业协会的资源优势，选派教师分批次参加学习培训，培训时间各为6天。实践内容包括道地药材的种植、采收、加工、炮制、鉴定等全过程的实践操作，以及与当地药农、企业技术人员、专家学者的交流学习等，同时要求教师将实践成果转化为教学资源，如撰写学习成果、编写实践教学案例、制作教学课件、开发实践教学项目等。通过学习，教师们对道地药材的植物形态特征、种苗繁育、种植技术、采收季节与方法、产地加工、中药鉴定、养生保健、临床应用等方面的知识有了更加全面的认识，开阔了视野，拓展了思路，促进了</w:t>
      </w:r>
      <w:r>
        <w:rPr>
          <w:rFonts w:hint="eastAsia" w:ascii="方正仿宋_GB2312" w:hAnsi="方正仿宋_GB2312" w:eastAsia="方正仿宋_GB2312" w:cs="方正仿宋_GB2312"/>
          <w:sz w:val="32"/>
          <w:szCs w:val="32"/>
          <w:lang w:val="en-US" w:eastAsia="zh-CN"/>
        </w:rPr>
        <w:t>学</w:t>
      </w:r>
      <w:r>
        <w:rPr>
          <w:rFonts w:hint="eastAsia" w:ascii="方正仿宋_GB2312" w:hAnsi="方正仿宋_GB2312" w:eastAsia="方正仿宋_GB2312" w:cs="方正仿宋_GB2312"/>
          <w:sz w:val="32"/>
          <w:szCs w:val="32"/>
          <w:lang w:eastAsia="zh-CN"/>
        </w:rPr>
        <w:t>校教师理论知识与实践技能的有效衔接与深度融合，加强了学校教师队伍建设，深化了产教融合、校企合作，对教育教学质量提升起到积极的推动作用，为国家培养技能型、实用型人才奠定良好的基础。</w:t>
      </w:r>
    </w:p>
    <w:p w14:paraId="32CB997D">
      <w:pPr>
        <w:numPr>
          <w:ilvl w:val="0"/>
          <w:numId w:val="1"/>
        </w:numPr>
        <w:spacing w:line="600" w:lineRule="exact"/>
        <w:ind w:left="0" w:leftChars="0" w:firstLine="640" w:firstLineChars="200"/>
        <w:outlineLvl w:val="0"/>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lang w:eastAsia="zh-CN"/>
        </w:rPr>
        <w:t>项目实施情况</w:t>
      </w:r>
    </w:p>
    <w:p w14:paraId="47389A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2024年5月18日至24日，学校14名教师分别前往</w:t>
      </w:r>
      <w:r>
        <w:rPr>
          <w:rFonts w:hint="eastAsia" w:ascii="方正仿宋_GB2312" w:hAnsi="方正仿宋_GB2312" w:eastAsia="方正仿宋_GB2312" w:cs="方正仿宋_GB2312"/>
          <w:sz w:val="32"/>
          <w:szCs w:val="32"/>
          <w:lang w:val="en-US" w:eastAsia="zh-CN"/>
        </w:rPr>
        <w:t>中药种植基地、</w:t>
      </w:r>
      <w:r>
        <w:rPr>
          <w:rFonts w:hint="eastAsia" w:ascii="方正仿宋_GB2312" w:hAnsi="方正仿宋_GB2312" w:eastAsia="方正仿宋_GB2312" w:cs="方正仿宋_GB2312"/>
          <w:sz w:val="32"/>
          <w:szCs w:val="32"/>
          <w:lang w:eastAsia="zh-CN"/>
        </w:rPr>
        <w:t>种苗繁育基地、药材集散中心、药用植物园、</w:t>
      </w:r>
      <w:r>
        <w:rPr>
          <w:rFonts w:hint="eastAsia" w:ascii="方正仿宋_GB2312" w:hAnsi="方正仿宋_GB2312" w:eastAsia="方正仿宋_GB2312" w:cs="方正仿宋_GB2312"/>
          <w:sz w:val="32"/>
          <w:szCs w:val="32"/>
          <w:lang w:val="en-US" w:eastAsia="zh-CN"/>
        </w:rPr>
        <w:t>中医医院以及制药厂</w:t>
      </w:r>
      <w:r>
        <w:rPr>
          <w:rFonts w:hint="eastAsia" w:ascii="方正仿宋_GB2312" w:hAnsi="方正仿宋_GB2312" w:eastAsia="方正仿宋_GB2312" w:cs="方正仿宋_GB2312"/>
          <w:sz w:val="32"/>
          <w:szCs w:val="32"/>
          <w:lang w:eastAsia="zh-CN"/>
        </w:rPr>
        <w:t>等地学习，了解板桥党参、独活、竹节参、湖北贝母、药用大黄、黄精、黄连、川黄柏、厚朴等中药在种植、采收、加工、炮制、鉴定等方面的内容，解决了部分教学中遇到的疑难问题，提高了实践操作能力和专业技术素质，使</w:t>
      </w:r>
      <w:r>
        <w:rPr>
          <w:rFonts w:hint="eastAsia" w:ascii="方正仿宋_GB2312" w:hAnsi="方正仿宋_GB2312" w:eastAsia="方正仿宋_GB2312" w:cs="方正仿宋_GB2312"/>
          <w:sz w:val="32"/>
          <w:szCs w:val="32"/>
          <w:lang w:val="en-US" w:eastAsia="zh-CN"/>
        </w:rPr>
        <w:t>学</w:t>
      </w:r>
      <w:r>
        <w:rPr>
          <w:rFonts w:hint="eastAsia" w:ascii="方正仿宋_GB2312" w:hAnsi="方正仿宋_GB2312" w:eastAsia="方正仿宋_GB2312" w:cs="方正仿宋_GB2312"/>
          <w:sz w:val="32"/>
          <w:szCs w:val="32"/>
          <w:lang w:eastAsia="zh-CN"/>
        </w:rPr>
        <w:t>校教师队伍整体素质大幅提高。</w:t>
      </w:r>
    </w:p>
    <w:p w14:paraId="683B5C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2024年7月14日至19日，学校14名教师分别前往中药材种植加工基地、养殖场、中医药产业园等地学习附子、天麻、药用大黄、林麝、淫羊藿、多花黄精、杜仲、元胡等中药材，教师们均收获了丰富的知识和宝贵的经验，全面提高了</w:t>
      </w:r>
      <w:r>
        <w:rPr>
          <w:rFonts w:hint="eastAsia" w:ascii="方正仿宋_GB2312" w:hAnsi="方正仿宋_GB2312" w:eastAsia="方正仿宋_GB2312" w:cs="方正仿宋_GB2312"/>
          <w:sz w:val="32"/>
          <w:szCs w:val="32"/>
          <w:lang w:val="en-US" w:eastAsia="zh-CN"/>
        </w:rPr>
        <w:t>学</w:t>
      </w:r>
      <w:r>
        <w:rPr>
          <w:rFonts w:hint="eastAsia" w:ascii="方正仿宋_GB2312" w:hAnsi="方正仿宋_GB2312" w:eastAsia="方正仿宋_GB2312" w:cs="方正仿宋_GB2312"/>
          <w:sz w:val="32"/>
          <w:szCs w:val="32"/>
          <w:lang w:eastAsia="zh-CN"/>
        </w:rPr>
        <w:t>校专业教师的教育教学能力和科研能力，也为</w:t>
      </w:r>
      <w:r>
        <w:rPr>
          <w:rFonts w:hint="eastAsia" w:ascii="方正仿宋_GB2312" w:hAnsi="方正仿宋_GB2312" w:eastAsia="方正仿宋_GB2312" w:cs="方正仿宋_GB2312"/>
          <w:sz w:val="32"/>
          <w:szCs w:val="32"/>
          <w:lang w:val="en-US" w:eastAsia="zh-CN"/>
        </w:rPr>
        <w:t>学</w:t>
      </w:r>
      <w:r>
        <w:rPr>
          <w:rFonts w:hint="eastAsia" w:ascii="方正仿宋_GB2312" w:hAnsi="方正仿宋_GB2312" w:eastAsia="方正仿宋_GB2312" w:cs="方正仿宋_GB2312"/>
          <w:sz w:val="32"/>
          <w:szCs w:val="32"/>
          <w:lang w:eastAsia="zh-CN"/>
        </w:rPr>
        <w:t>校中药种植实训基地增加了多花黄精这一中药品种。</w:t>
      </w:r>
    </w:p>
    <w:p w14:paraId="46A9B1F0">
      <w:pPr>
        <w:numPr>
          <w:ilvl w:val="0"/>
          <w:numId w:val="1"/>
        </w:numPr>
        <w:spacing w:line="600" w:lineRule="exact"/>
        <w:ind w:left="0" w:leftChars="0" w:firstLine="640" w:firstLineChars="200"/>
        <w:outlineLvl w:val="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资金投入和使用情况</w:t>
      </w:r>
    </w:p>
    <w:p w14:paraId="5F9B8A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lang w:eastAsia="zh-CN"/>
        </w:rPr>
      </w:pPr>
      <w:r>
        <w:rPr>
          <w:rFonts w:hint="eastAsia" w:ascii="方正仿宋_GB2312" w:hAnsi="方正仿宋_GB2312" w:eastAsia="方正仿宋_GB2312" w:cs="方正仿宋_GB2312"/>
          <w:sz w:val="32"/>
          <w:szCs w:val="32"/>
          <w:lang w:eastAsia="zh-CN"/>
        </w:rPr>
        <w:t>本项目共申请财政资金</w:t>
      </w:r>
      <w:r>
        <w:rPr>
          <w:rFonts w:hint="eastAsia" w:ascii="方正仿宋_GB2312" w:hAnsi="方正仿宋_GB2312" w:eastAsia="方正仿宋_GB2312" w:cs="方正仿宋_GB2312"/>
          <w:sz w:val="32"/>
          <w:szCs w:val="32"/>
          <w:lang w:val="en-US" w:eastAsia="zh-CN"/>
        </w:rPr>
        <w:t>21.810200</w:t>
      </w:r>
      <w:r>
        <w:rPr>
          <w:rFonts w:hint="eastAsia" w:ascii="方正仿宋_GB2312" w:hAnsi="方正仿宋_GB2312" w:eastAsia="方正仿宋_GB2312" w:cs="方正仿宋_GB2312"/>
          <w:sz w:val="32"/>
          <w:szCs w:val="32"/>
          <w:lang w:eastAsia="zh-CN"/>
        </w:rPr>
        <w:t>万元，</w:t>
      </w:r>
      <w:r>
        <w:rPr>
          <w:rFonts w:hint="eastAsia" w:ascii="方正仿宋_GB2312" w:hAnsi="方正仿宋_GB2312" w:eastAsia="方正仿宋_GB2312" w:cs="方正仿宋_GB2312"/>
          <w:sz w:val="32"/>
          <w:szCs w:val="32"/>
          <w:lang w:val="en-US" w:eastAsia="zh-CN"/>
        </w:rPr>
        <w:t>年初预算</w:t>
      </w:r>
      <w:r>
        <w:rPr>
          <w:rFonts w:hint="eastAsia" w:ascii="方正仿宋_GB2312" w:hAnsi="方正仿宋_GB2312" w:eastAsia="方正仿宋_GB2312" w:cs="方正仿宋_GB2312"/>
          <w:sz w:val="32"/>
          <w:szCs w:val="32"/>
          <w:lang w:eastAsia="zh-CN"/>
        </w:rPr>
        <w:t>金额</w:t>
      </w:r>
      <w:r>
        <w:rPr>
          <w:rFonts w:hint="eastAsia" w:ascii="方正仿宋_GB2312" w:hAnsi="方正仿宋_GB2312" w:eastAsia="方正仿宋_GB2312" w:cs="方正仿宋_GB2312"/>
          <w:sz w:val="32"/>
          <w:szCs w:val="32"/>
          <w:lang w:val="en-US" w:eastAsia="zh-CN"/>
        </w:rPr>
        <w:t>21.810200</w:t>
      </w:r>
      <w:r>
        <w:rPr>
          <w:rFonts w:hint="eastAsia" w:ascii="方正仿宋_GB2312" w:hAnsi="方正仿宋_GB2312" w:eastAsia="方正仿宋_GB2312" w:cs="方正仿宋_GB2312"/>
          <w:sz w:val="32"/>
          <w:szCs w:val="32"/>
          <w:lang w:eastAsia="zh-CN"/>
        </w:rPr>
        <w:t>万元，全年预算金额</w:t>
      </w:r>
      <w:r>
        <w:rPr>
          <w:rFonts w:hint="eastAsia" w:ascii="方正仿宋_GB2312" w:hAnsi="方正仿宋_GB2312" w:eastAsia="方正仿宋_GB2312" w:cs="方正仿宋_GB2312"/>
          <w:sz w:val="32"/>
          <w:szCs w:val="32"/>
          <w:lang w:val="en-US" w:eastAsia="zh-CN"/>
        </w:rPr>
        <w:t>20.059500万元，实际</w:t>
      </w:r>
      <w:r>
        <w:rPr>
          <w:rFonts w:hint="eastAsia" w:ascii="方正仿宋_GB2312" w:hAnsi="方正仿宋_GB2312" w:eastAsia="方正仿宋_GB2312" w:cs="方正仿宋_GB2312"/>
          <w:sz w:val="32"/>
          <w:szCs w:val="32"/>
          <w:lang w:eastAsia="zh-CN"/>
        </w:rPr>
        <w:t>支出金额</w:t>
      </w:r>
      <w:r>
        <w:rPr>
          <w:rFonts w:hint="eastAsia" w:ascii="方正仿宋_GB2312" w:hAnsi="方正仿宋_GB2312" w:eastAsia="方正仿宋_GB2312" w:cs="方正仿宋_GB2312"/>
          <w:sz w:val="32"/>
          <w:szCs w:val="32"/>
          <w:lang w:val="en-US" w:eastAsia="zh-CN"/>
        </w:rPr>
        <w:t>20.039500</w:t>
      </w:r>
      <w:r>
        <w:rPr>
          <w:rFonts w:hint="eastAsia" w:ascii="方正仿宋_GB2312" w:hAnsi="方正仿宋_GB2312" w:eastAsia="方正仿宋_GB2312" w:cs="方正仿宋_GB2312"/>
          <w:sz w:val="32"/>
          <w:szCs w:val="32"/>
          <w:lang w:eastAsia="zh-CN"/>
        </w:rPr>
        <w:t>万元，预算执行率</w:t>
      </w:r>
      <w:r>
        <w:rPr>
          <w:rFonts w:hint="eastAsia" w:ascii="方正仿宋_GB2312" w:hAnsi="方正仿宋_GB2312" w:eastAsia="方正仿宋_GB2312" w:cs="方正仿宋_GB2312"/>
          <w:sz w:val="32"/>
          <w:szCs w:val="32"/>
          <w:lang w:val="en-US" w:eastAsia="zh-CN"/>
        </w:rPr>
        <w:t>99.99</w:t>
      </w:r>
      <w:r>
        <w:rPr>
          <w:rFonts w:hint="eastAsia" w:ascii="方正仿宋_GB2312" w:hAnsi="方正仿宋_GB2312" w:eastAsia="方正仿宋_GB2312" w:cs="方正仿宋_GB2312"/>
          <w:sz w:val="32"/>
          <w:szCs w:val="32"/>
          <w:lang w:eastAsia="zh-CN"/>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1500"/>
        <w:gridCol w:w="1365"/>
        <w:gridCol w:w="1545"/>
        <w:gridCol w:w="1725"/>
        <w:gridCol w:w="1326"/>
      </w:tblGrid>
      <w:tr w14:paraId="59E2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dxa"/>
            <w:vAlign w:val="center"/>
          </w:tcPr>
          <w:p w14:paraId="4341E44B">
            <w:pPr>
              <w:pStyle w:val="3"/>
              <w:ind w:left="0" w:leftChars="0" w:firstLine="0" w:firstLineChars="0"/>
              <w:jc w:val="center"/>
              <w:rPr>
                <w:rFonts w:hint="eastAsia" w:ascii="方正仿宋_GB2312" w:hAnsi="方正仿宋_GB2312" w:eastAsia="方正仿宋_GB2312" w:cs="方正仿宋_GB2312"/>
                <w:sz w:val="24"/>
                <w:szCs w:val="24"/>
                <w:vertAlign w:val="baseline"/>
                <w:lang w:eastAsia="zh-CN"/>
              </w:rPr>
            </w:pPr>
            <w:r>
              <w:rPr>
                <w:rFonts w:hint="eastAsia" w:ascii="方正仿宋_GB2312" w:hAnsi="方正仿宋_GB2312" w:eastAsia="方正仿宋_GB2312" w:cs="方正仿宋_GB2312"/>
                <w:sz w:val="24"/>
                <w:szCs w:val="24"/>
                <w:vertAlign w:val="baseline"/>
                <w:lang w:eastAsia="zh-CN"/>
              </w:rPr>
              <w:t>培训</w:t>
            </w:r>
          </w:p>
          <w:p w14:paraId="3D7AF46B">
            <w:pPr>
              <w:pStyle w:val="3"/>
              <w:ind w:left="0" w:leftChars="0" w:firstLine="0" w:firstLineChars="0"/>
              <w:jc w:val="center"/>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时间</w:t>
            </w:r>
          </w:p>
        </w:tc>
        <w:tc>
          <w:tcPr>
            <w:tcW w:w="1500" w:type="dxa"/>
            <w:vAlign w:val="center"/>
          </w:tcPr>
          <w:p w14:paraId="5AB503C6">
            <w:pPr>
              <w:pStyle w:val="3"/>
              <w:ind w:left="0" w:leftChars="0" w:firstLine="0" w:firstLineChars="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往返交通费（元）</w:t>
            </w:r>
          </w:p>
        </w:tc>
        <w:tc>
          <w:tcPr>
            <w:tcW w:w="1365" w:type="dxa"/>
            <w:vAlign w:val="center"/>
          </w:tcPr>
          <w:p w14:paraId="5C084AD1">
            <w:pPr>
              <w:pStyle w:val="3"/>
              <w:ind w:left="0" w:leftChars="0" w:firstLine="0" w:firstLineChars="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培训费</w:t>
            </w:r>
            <w:r>
              <w:rPr>
                <w:rFonts w:hint="eastAsia" w:ascii="方正仿宋_GB2312" w:hAnsi="方正仿宋_GB2312" w:eastAsia="方正仿宋_GB2312" w:cs="方正仿宋_GB2312"/>
                <w:sz w:val="24"/>
                <w:szCs w:val="24"/>
                <w:vertAlign w:val="baseline"/>
                <w:lang w:val="en-US" w:eastAsia="zh-CN"/>
              </w:rPr>
              <w:t xml:space="preserve">  </w:t>
            </w:r>
            <w:r>
              <w:rPr>
                <w:rFonts w:hint="eastAsia" w:ascii="方正仿宋_GB2312" w:hAnsi="方正仿宋_GB2312" w:eastAsia="方正仿宋_GB2312" w:cs="方正仿宋_GB2312"/>
                <w:sz w:val="24"/>
                <w:szCs w:val="24"/>
                <w:vertAlign w:val="baseline"/>
              </w:rPr>
              <w:t>（元）</w:t>
            </w:r>
          </w:p>
        </w:tc>
        <w:tc>
          <w:tcPr>
            <w:tcW w:w="1545" w:type="dxa"/>
            <w:vAlign w:val="center"/>
          </w:tcPr>
          <w:p w14:paraId="5DFD3BCA">
            <w:pPr>
              <w:pStyle w:val="3"/>
              <w:ind w:left="0" w:leftChars="0" w:firstLine="0" w:firstLineChars="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专家</w:t>
            </w:r>
            <w:r>
              <w:rPr>
                <w:rFonts w:hint="eastAsia" w:ascii="方正仿宋_GB2312" w:hAnsi="方正仿宋_GB2312" w:eastAsia="方正仿宋_GB2312" w:cs="方正仿宋_GB2312"/>
                <w:sz w:val="24"/>
                <w:szCs w:val="24"/>
                <w:vertAlign w:val="baseline"/>
                <w:lang w:eastAsia="zh-CN"/>
              </w:rPr>
              <w:t>授课</w:t>
            </w:r>
            <w:r>
              <w:rPr>
                <w:rFonts w:hint="eastAsia" w:ascii="方正仿宋_GB2312" w:hAnsi="方正仿宋_GB2312" w:eastAsia="方正仿宋_GB2312" w:cs="方正仿宋_GB2312"/>
                <w:sz w:val="24"/>
                <w:szCs w:val="24"/>
                <w:vertAlign w:val="baseline"/>
              </w:rPr>
              <w:t>费（元）</w:t>
            </w:r>
          </w:p>
        </w:tc>
        <w:tc>
          <w:tcPr>
            <w:tcW w:w="1725" w:type="dxa"/>
            <w:vAlign w:val="center"/>
          </w:tcPr>
          <w:p w14:paraId="78BB8B8E">
            <w:pPr>
              <w:pStyle w:val="3"/>
              <w:ind w:left="0" w:leftChars="0" w:firstLine="0" w:firstLineChars="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学习成果出版</w:t>
            </w:r>
            <w:r>
              <w:rPr>
                <w:rFonts w:hint="eastAsia" w:ascii="方正仿宋_GB2312" w:hAnsi="方正仿宋_GB2312" w:eastAsia="方正仿宋_GB2312" w:cs="方正仿宋_GB2312"/>
                <w:sz w:val="24"/>
                <w:szCs w:val="24"/>
                <w:lang w:eastAsia="zh-CN"/>
              </w:rPr>
              <w:t>费用</w:t>
            </w:r>
            <w:r>
              <w:rPr>
                <w:rFonts w:hint="eastAsia" w:ascii="方正仿宋_GB2312" w:hAnsi="方正仿宋_GB2312" w:eastAsia="方正仿宋_GB2312" w:cs="方正仿宋_GB2312"/>
                <w:sz w:val="24"/>
                <w:szCs w:val="24"/>
                <w:vertAlign w:val="baseline"/>
              </w:rPr>
              <w:t>（元）</w:t>
            </w:r>
          </w:p>
        </w:tc>
        <w:tc>
          <w:tcPr>
            <w:tcW w:w="1326" w:type="dxa"/>
            <w:vAlign w:val="center"/>
          </w:tcPr>
          <w:p w14:paraId="4C59322C">
            <w:pPr>
              <w:pStyle w:val="3"/>
              <w:ind w:left="0" w:leftChars="0" w:firstLine="0" w:firstLineChars="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合计</w:t>
            </w:r>
            <w:r>
              <w:rPr>
                <w:rFonts w:hint="eastAsia" w:ascii="方正仿宋_GB2312" w:hAnsi="方正仿宋_GB2312" w:eastAsia="方正仿宋_GB2312" w:cs="方正仿宋_GB2312"/>
                <w:sz w:val="24"/>
                <w:szCs w:val="24"/>
                <w:vertAlign w:val="baseline"/>
                <w:lang w:val="en-US" w:eastAsia="zh-CN"/>
              </w:rPr>
              <w:t xml:space="preserve">   </w:t>
            </w:r>
            <w:r>
              <w:rPr>
                <w:rFonts w:hint="eastAsia" w:ascii="方正仿宋_GB2312" w:hAnsi="方正仿宋_GB2312" w:eastAsia="方正仿宋_GB2312" w:cs="方正仿宋_GB2312"/>
                <w:sz w:val="24"/>
                <w:szCs w:val="24"/>
                <w:vertAlign w:val="baseline"/>
              </w:rPr>
              <w:t>（元）</w:t>
            </w:r>
          </w:p>
        </w:tc>
      </w:tr>
      <w:tr w14:paraId="08B2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8" w:type="dxa"/>
            <w:vAlign w:val="center"/>
          </w:tcPr>
          <w:p w14:paraId="22825CDB">
            <w:pPr>
              <w:pStyle w:val="3"/>
              <w:ind w:left="0" w:leftChars="0" w:firstLine="0" w:firstLineChars="0"/>
              <w:jc w:val="center"/>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5月</w:t>
            </w:r>
          </w:p>
        </w:tc>
        <w:tc>
          <w:tcPr>
            <w:tcW w:w="1500" w:type="dxa"/>
            <w:vAlign w:val="center"/>
          </w:tcPr>
          <w:p w14:paraId="2FA9FAFF">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rPr>
              <w:t>18186</w:t>
            </w:r>
            <w:r>
              <w:rPr>
                <w:rFonts w:hint="eastAsia" w:ascii="方正仿宋_GB2312" w:hAnsi="方正仿宋_GB2312" w:eastAsia="方正仿宋_GB2312" w:cs="方正仿宋_GB2312"/>
                <w:sz w:val="24"/>
                <w:szCs w:val="24"/>
                <w:vertAlign w:val="baseline"/>
                <w:lang w:val="en-US" w:eastAsia="zh-CN"/>
              </w:rPr>
              <w:t>.00</w:t>
            </w:r>
          </w:p>
        </w:tc>
        <w:tc>
          <w:tcPr>
            <w:tcW w:w="1365" w:type="dxa"/>
            <w:vAlign w:val="center"/>
          </w:tcPr>
          <w:p w14:paraId="186ED03D">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41020.00</w:t>
            </w:r>
          </w:p>
        </w:tc>
        <w:tc>
          <w:tcPr>
            <w:tcW w:w="1545" w:type="dxa"/>
            <w:vAlign w:val="center"/>
          </w:tcPr>
          <w:p w14:paraId="309C185E">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rPr>
              <w:t>17600</w:t>
            </w:r>
            <w:r>
              <w:rPr>
                <w:rFonts w:hint="eastAsia" w:ascii="方正仿宋_GB2312" w:hAnsi="方正仿宋_GB2312" w:eastAsia="方正仿宋_GB2312" w:cs="方正仿宋_GB2312"/>
                <w:sz w:val="24"/>
                <w:szCs w:val="24"/>
                <w:vertAlign w:val="baseline"/>
                <w:lang w:val="en-US" w:eastAsia="zh-CN"/>
              </w:rPr>
              <w:t>.00</w:t>
            </w:r>
          </w:p>
        </w:tc>
        <w:tc>
          <w:tcPr>
            <w:tcW w:w="1725" w:type="dxa"/>
            <w:vMerge w:val="restart"/>
            <w:vAlign w:val="center"/>
          </w:tcPr>
          <w:p w14:paraId="480C6A3C">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rPr>
              <w:t>49800</w:t>
            </w:r>
            <w:r>
              <w:rPr>
                <w:rFonts w:hint="eastAsia" w:ascii="方正仿宋_GB2312" w:hAnsi="方正仿宋_GB2312" w:eastAsia="方正仿宋_GB2312" w:cs="方正仿宋_GB2312"/>
                <w:sz w:val="24"/>
                <w:szCs w:val="24"/>
                <w:vertAlign w:val="baseline"/>
                <w:lang w:val="en-US" w:eastAsia="zh-CN"/>
              </w:rPr>
              <w:t>.00</w:t>
            </w:r>
          </w:p>
        </w:tc>
        <w:tc>
          <w:tcPr>
            <w:tcW w:w="1326" w:type="dxa"/>
            <w:vMerge w:val="restart"/>
            <w:vAlign w:val="center"/>
          </w:tcPr>
          <w:p w14:paraId="42C0FDD5">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default" w:ascii="方正仿宋_GB2312" w:hAnsi="方正仿宋_GB2312" w:eastAsia="方正仿宋_GB2312" w:cs="方正仿宋_GB2312"/>
                <w:sz w:val="24"/>
                <w:szCs w:val="24"/>
                <w:vertAlign w:val="baseline"/>
                <w:lang w:val="en-US" w:eastAsia="zh-CN"/>
              </w:rPr>
              <w:t>200395.00</w:t>
            </w:r>
          </w:p>
        </w:tc>
      </w:tr>
      <w:tr w14:paraId="247B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8" w:type="dxa"/>
            <w:vAlign w:val="center"/>
          </w:tcPr>
          <w:p w14:paraId="301DEE0F">
            <w:pPr>
              <w:pStyle w:val="3"/>
              <w:ind w:left="0" w:leftChars="0" w:firstLine="0" w:firstLineChars="0"/>
              <w:jc w:val="center"/>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7月</w:t>
            </w:r>
          </w:p>
        </w:tc>
        <w:tc>
          <w:tcPr>
            <w:tcW w:w="1500" w:type="dxa"/>
            <w:vAlign w:val="center"/>
          </w:tcPr>
          <w:p w14:paraId="4392AFC2">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rPr>
              <w:t>17689</w:t>
            </w:r>
            <w:r>
              <w:rPr>
                <w:rFonts w:hint="eastAsia" w:ascii="方正仿宋_GB2312" w:hAnsi="方正仿宋_GB2312" w:eastAsia="方正仿宋_GB2312" w:cs="方正仿宋_GB2312"/>
                <w:sz w:val="24"/>
                <w:szCs w:val="24"/>
                <w:vertAlign w:val="baseline"/>
                <w:lang w:val="en-US" w:eastAsia="zh-CN"/>
              </w:rPr>
              <w:t>.00</w:t>
            </w:r>
          </w:p>
        </w:tc>
        <w:tc>
          <w:tcPr>
            <w:tcW w:w="1365" w:type="dxa"/>
            <w:vAlign w:val="center"/>
          </w:tcPr>
          <w:p w14:paraId="0119420F">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rPr>
              <w:t>38500</w:t>
            </w:r>
            <w:r>
              <w:rPr>
                <w:rFonts w:hint="eastAsia" w:ascii="方正仿宋_GB2312" w:hAnsi="方正仿宋_GB2312" w:eastAsia="方正仿宋_GB2312" w:cs="方正仿宋_GB2312"/>
                <w:sz w:val="24"/>
                <w:szCs w:val="24"/>
                <w:vertAlign w:val="baseline"/>
                <w:lang w:val="en-US" w:eastAsia="zh-CN"/>
              </w:rPr>
              <w:t>.00</w:t>
            </w:r>
          </w:p>
        </w:tc>
        <w:tc>
          <w:tcPr>
            <w:tcW w:w="1545" w:type="dxa"/>
            <w:vAlign w:val="center"/>
          </w:tcPr>
          <w:p w14:paraId="313CDEAD">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rPr>
              <w:t>17600</w:t>
            </w:r>
            <w:r>
              <w:rPr>
                <w:rFonts w:hint="eastAsia" w:ascii="方正仿宋_GB2312" w:hAnsi="方正仿宋_GB2312" w:eastAsia="方正仿宋_GB2312" w:cs="方正仿宋_GB2312"/>
                <w:sz w:val="24"/>
                <w:szCs w:val="24"/>
                <w:vertAlign w:val="baseline"/>
                <w:lang w:val="en-US" w:eastAsia="zh-CN"/>
              </w:rPr>
              <w:t>.00</w:t>
            </w:r>
          </w:p>
        </w:tc>
        <w:tc>
          <w:tcPr>
            <w:tcW w:w="1725" w:type="dxa"/>
            <w:vMerge w:val="continue"/>
            <w:vAlign w:val="center"/>
          </w:tcPr>
          <w:p w14:paraId="1C9EA073">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仿宋" w:cs="仿宋"/>
                <w:sz w:val="24"/>
                <w:szCs w:val="24"/>
                <w:vertAlign w:val="baseline"/>
              </w:rPr>
            </w:pPr>
          </w:p>
        </w:tc>
        <w:tc>
          <w:tcPr>
            <w:tcW w:w="1326" w:type="dxa"/>
            <w:vMerge w:val="continue"/>
            <w:vAlign w:val="center"/>
          </w:tcPr>
          <w:p w14:paraId="75B1AAD8">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仿宋" w:cs="仿宋"/>
                <w:sz w:val="24"/>
                <w:szCs w:val="24"/>
                <w:vertAlign w:val="baseline"/>
              </w:rPr>
            </w:pPr>
          </w:p>
        </w:tc>
      </w:tr>
    </w:tbl>
    <w:p w14:paraId="1D5C0499">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（二）</w:t>
      </w:r>
      <w:r>
        <w:rPr>
          <w:rFonts w:hint="eastAsia" w:ascii="Times New Roman" w:hAnsi="Times New Roman" w:eastAsia="楷体_GB2312" w:cs="楷体_GB2312"/>
          <w:sz w:val="32"/>
          <w:szCs w:val="32"/>
        </w:rPr>
        <w:t>项目绩效目标</w:t>
      </w:r>
    </w:p>
    <w:p w14:paraId="470CB01F">
      <w:pPr>
        <w:spacing w:line="600" w:lineRule="exact"/>
        <w:ind w:firstLine="640" w:firstLineChars="200"/>
        <w:outlineLvl w:val="0"/>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lang w:val="en-US" w:eastAsia="zh-CN"/>
        </w:rPr>
        <w:t xml:space="preserve">1. </w:t>
      </w:r>
      <w:r>
        <w:rPr>
          <w:rFonts w:hint="eastAsia" w:ascii="方正仿宋_GB2312" w:hAnsi="方正仿宋_GB2312" w:eastAsia="方正仿宋_GB2312" w:cs="方正仿宋_GB2312"/>
          <w:b w:val="0"/>
          <w:bCs w:val="0"/>
          <w:sz w:val="32"/>
          <w:szCs w:val="32"/>
          <w:lang w:eastAsia="zh-CN"/>
        </w:rPr>
        <w:t>总体目标</w:t>
      </w:r>
    </w:p>
    <w:p w14:paraId="37DDE2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通过完成本项目，可以进一步加强学校专业教师队伍建设，开展专业教师的能力培养，通过教师到道地中药材种植基地、药用动物养殖基地、中药材市场、饮片厂、植物园、中医药博物馆等的实地学习，既加强了学校与医药行业以及学校与学校之间的合作与交流，了解医药行业发展现状，同时也可以理清北京医药成人高等教育发展的思路，与医药行业搭建“产-学-研”三位一体的交流平台。学校师资队伍建设项目的实施，可解决各专业建设中比较突出的问题，形成新的成人教育理念和特色，使广大教师明确专业定位，全面提高学校专业教师的教育教学能力。</w:t>
      </w:r>
    </w:p>
    <w:p w14:paraId="4B264CA3">
      <w:pPr>
        <w:numPr>
          <w:ilvl w:val="0"/>
          <w:numId w:val="2"/>
        </w:numPr>
        <w:spacing w:line="600" w:lineRule="exact"/>
        <w:ind w:firstLine="640" w:firstLineChars="200"/>
        <w:outlineLvl w:val="0"/>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lang w:eastAsia="zh-CN"/>
        </w:rPr>
        <w:t>阶段性目标</w:t>
      </w:r>
    </w:p>
    <w:p w14:paraId="3B1D55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2024年5月</w:t>
      </w:r>
      <w:r>
        <w:rPr>
          <w:rFonts w:hint="default" w:ascii="方正仿宋_GB2312" w:hAnsi="方正仿宋_GB2312" w:eastAsia="方正仿宋_GB2312" w:cs="方正仿宋_GB2312"/>
          <w:sz w:val="32"/>
          <w:szCs w:val="32"/>
          <w:lang w:eastAsia="zh-CN"/>
        </w:rPr>
        <w:t>前往</w:t>
      </w:r>
      <w:r>
        <w:rPr>
          <w:rFonts w:hint="eastAsia" w:ascii="方正仿宋_GB2312" w:hAnsi="方正仿宋_GB2312" w:eastAsia="方正仿宋_GB2312" w:cs="方正仿宋_GB2312"/>
          <w:sz w:val="32"/>
          <w:szCs w:val="32"/>
          <w:lang w:eastAsia="zh-CN"/>
        </w:rPr>
        <w:t>黄连、厚朴、</w:t>
      </w:r>
      <w:r>
        <w:rPr>
          <w:rFonts w:hint="default" w:ascii="方正仿宋_GB2312" w:hAnsi="方正仿宋_GB2312" w:eastAsia="方正仿宋_GB2312" w:cs="方正仿宋_GB2312"/>
          <w:sz w:val="32"/>
          <w:szCs w:val="32"/>
          <w:lang w:eastAsia="zh-CN"/>
        </w:rPr>
        <w:t>党参、独活、湖北</w:t>
      </w:r>
      <w:r>
        <w:rPr>
          <w:rFonts w:hint="eastAsia" w:ascii="方正仿宋_GB2312" w:hAnsi="方正仿宋_GB2312" w:eastAsia="方正仿宋_GB2312" w:cs="方正仿宋_GB2312"/>
          <w:sz w:val="32"/>
          <w:szCs w:val="32"/>
          <w:lang w:eastAsia="zh-CN"/>
        </w:rPr>
        <w:t>贝母、</w:t>
      </w:r>
      <w:r>
        <w:rPr>
          <w:rFonts w:hint="default" w:ascii="方正仿宋_GB2312" w:hAnsi="方正仿宋_GB2312" w:eastAsia="方正仿宋_GB2312" w:cs="方正仿宋_GB2312"/>
          <w:sz w:val="32"/>
          <w:szCs w:val="32"/>
          <w:lang w:eastAsia="zh-CN"/>
        </w:rPr>
        <w:t>黄精</w:t>
      </w:r>
      <w:r>
        <w:rPr>
          <w:rFonts w:hint="eastAsia" w:ascii="方正仿宋_GB2312" w:hAnsi="方正仿宋_GB2312" w:eastAsia="方正仿宋_GB2312" w:cs="方正仿宋_GB2312"/>
          <w:sz w:val="32"/>
          <w:szCs w:val="32"/>
          <w:lang w:eastAsia="zh-CN"/>
        </w:rPr>
        <w:t>、</w:t>
      </w:r>
      <w:r>
        <w:rPr>
          <w:rFonts w:hint="default" w:ascii="方正仿宋_GB2312" w:hAnsi="方正仿宋_GB2312" w:eastAsia="方正仿宋_GB2312" w:cs="方正仿宋_GB2312"/>
          <w:sz w:val="32"/>
          <w:szCs w:val="32"/>
          <w:lang w:eastAsia="zh-CN"/>
        </w:rPr>
        <w:t>黄柏、虎杖、竹节参、大黄</w:t>
      </w:r>
      <w:r>
        <w:rPr>
          <w:rFonts w:hint="eastAsia" w:ascii="方正仿宋_GB2312" w:hAnsi="方正仿宋_GB2312" w:eastAsia="方正仿宋_GB2312" w:cs="方正仿宋_GB2312"/>
          <w:sz w:val="32"/>
          <w:szCs w:val="32"/>
          <w:lang w:eastAsia="zh-CN"/>
        </w:rPr>
        <w:t>等药材种植基地、</w:t>
      </w:r>
      <w:r>
        <w:rPr>
          <w:rFonts w:hint="default" w:ascii="方正仿宋_GB2312" w:hAnsi="方正仿宋_GB2312" w:eastAsia="方正仿宋_GB2312" w:cs="方正仿宋_GB2312"/>
          <w:sz w:val="32"/>
          <w:szCs w:val="32"/>
          <w:lang w:eastAsia="zh-CN"/>
        </w:rPr>
        <w:t>初加工</w:t>
      </w:r>
      <w:r>
        <w:rPr>
          <w:rFonts w:hint="eastAsia" w:ascii="方正仿宋_GB2312" w:hAnsi="方正仿宋_GB2312" w:eastAsia="方正仿宋_GB2312" w:cs="方正仿宋_GB2312"/>
          <w:sz w:val="32"/>
          <w:szCs w:val="32"/>
          <w:lang w:eastAsia="zh-CN"/>
        </w:rPr>
        <w:t>厂、药用植物园、民族医院等实地学习。</w:t>
      </w:r>
    </w:p>
    <w:p w14:paraId="63FA69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2024年</w:t>
      </w:r>
      <w:r>
        <w:rPr>
          <w:rFonts w:hint="default" w:ascii="方正仿宋_GB2312" w:hAnsi="方正仿宋_GB2312" w:eastAsia="方正仿宋_GB2312" w:cs="方正仿宋_GB2312"/>
          <w:sz w:val="32"/>
          <w:szCs w:val="32"/>
          <w:lang w:eastAsia="zh-CN"/>
        </w:rPr>
        <w:t>7</w:t>
      </w:r>
      <w:r>
        <w:rPr>
          <w:rFonts w:hint="eastAsia" w:ascii="方正仿宋_GB2312" w:hAnsi="方正仿宋_GB2312" w:eastAsia="方正仿宋_GB2312" w:cs="方正仿宋_GB2312"/>
          <w:sz w:val="32"/>
          <w:szCs w:val="32"/>
          <w:lang w:eastAsia="zh-CN"/>
        </w:rPr>
        <w:t>月</w:t>
      </w:r>
      <w:r>
        <w:rPr>
          <w:rFonts w:hint="default" w:ascii="方正仿宋_GB2312" w:hAnsi="方正仿宋_GB2312" w:eastAsia="方正仿宋_GB2312" w:cs="方正仿宋_GB2312"/>
          <w:sz w:val="32"/>
          <w:szCs w:val="32"/>
          <w:lang w:eastAsia="zh-CN"/>
        </w:rPr>
        <w:t>前往</w:t>
      </w:r>
      <w:r>
        <w:rPr>
          <w:rFonts w:hint="eastAsia" w:ascii="方正仿宋_GB2312" w:hAnsi="方正仿宋_GB2312" w:eastAsia="方正仿宋_GB2312" w:cs="方正仿宋_GB2312"/>
          <w:sz w:val="32"/>
          <w:szCs w:val="32"/>
          <w:lang w:eastAsia="zh-CN"/>
        </w:rPr>
        <w:t>附子、大黄、杜仲、林麝</w:t>
      </w:r>
      <w:r>
        <w:rPr>
          <w:rFonts w:hint="default" w:ascii="方正仿宋_GB2312" w:hAnsi="方正仿宋_GB2312" w:eastAsia="方正仿宋_GB2312" w:cs="方正仿宋_GB2312"/>
          <w:sz w:val="32"/>
          <w:szCs w:val="32"/>
          <w:lang w:eastAsia="zh-CN"/>
        </w:rPr>
        <w:t>、淫羊藿、元胡、天麻</w:t>
      </w:r>
      <w:r>
        <w:rPr>
          <w:rFonts w:hint="eastAsia" w:ascii="方正仿宋_GB2312" w:hAnsi="方正仿宋_GB2312" w:eastAsia="方正仿宋_GB2312" w:cs="方正仿宋_GB2312"/>
          <w:sz w:val="32"/>
          <w:szCs w:val="32"/>
          <w:lang w:eastAsia="zh-CN"/>
        </w:rPr>
        <w:t>等药材种植基地、动物养殖基地、</w:t>
      </w:r>
      <w:r>
        <w:rPr>
          <w:rFonts w:hint="default" w:ascii="方正仿宋_GB2312" w:hAnsi="方正仿宋_GB2312" w:eastAsia="方正仿宋_GB2312" w:cs="方正仿宋_GB2312"/>
          <w:sz w:val="32"/>
          <w:szCs w:val="32"/>
          <w:lang w:eastAsia="zh-CN"/>
        </w:rPr>
        <w:t>初加工</w:t>
      </w:r>
      <w:r>
        <w:rPr>
          <w:rFonts w:hint="eastAsia" w:ascii="方正仿宋_GB2312" w:hAnsi="方正仿宋_GB2312" w:eastAsia="方正仿宋_GB2312" w:cs="方正仿宋_GB2312"/>
          <w:sz w:val="32"/>
          <w:szCs w:val="32"/>
          <w:lang w:eastAsia="zh-CN"/>
        </w:rPr>
        <w:t>厂等实地学习。</w:t>
      </w:r>
    </w:p>
    <w:p w14:paraId="53C0208C">
      <w:pPr>
        <w:spacing w:line="600" w:lineRule="exact"/>
        <w:ind w:firstLine="640" w:firstLineChars="200"/>
        <w:rPr>
          <w:rFonts w:hint="eastAsia" w:ascii="Times New Roman" w:hAnsi="Times New Roman" w:eastAsia="黑体" w:cs="黑体"/>
          <w:sz w:val="32"/>
          <w:szCs w:val="32"/>
        </w:rPr>
      </w:pPr>
      <w:r>
        <w:rPr>
          <w:rFonts w:hint="eastAsia" w:ascii="Times New Roman" w:hAnsi="Times New Roman" w:eastAsia="黑体" w:cs="黑体"/>
          <w:sz w:val="32"/>
          <w:szCs w:val="32"/>
        </w:rPr>
        <w:t>二、绩效评价工作开展情况</w:t>
      </w:r>
    </w:p>
    <w:p w14:paraId="2D93CCCE">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（一）绩效评价目的、对象和范围</w:t>
      </w:r>
    </w:p>
    <w:p w14:paraId="7C808B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通过绩效评价，衡量和考核北京医药职工大学（中国北京同仁堂（集团）有限责任公司党校）教师实践教学能力提升</w:t>
      </w:r>
      <w:r>
        <w:rPr>
          <w:rFonts w:hint="eastAsia" w:ascii="方正仿宋_GB2312" w:hAnsi="方正仿宋_GB2312" w:eastAsia="方正仿宋_GB2312" w:cs="方正仿宋_GB2312"/>
          <w:sz w:val="32"/>
          <w:szCs w:val="32"/>
          <w:lang w:val="en-US" w:eastAsia="zh-CN"/>
        </w:rPr>
        <w:t>项目</w:t>
      </w:r>
      <w:r>
        <w:rPr>
          <w:rFonts w:hint="eastAsia" w:ascii="方正仿宋_GB2312" w:hAnsi="方正仿宋_GB2312" w:eastAsia="方正仿宋_GB2312" w:cs="方正仿宋_GB2312"/>
          <w:sz w:val="32"/>
          <w:szCs w:val="32"/>
          <w:lang w:eastAsia="zh-CN"/>
        </w:rPr>
        <w:t>使用财政资金</w:t>
      </w:r>
      <w:r>
        <w:rPr>
          <w:rFonts w:hint="eastAsia" w:ascii="方正仿宋_GB2312" w:hAnsi="方正仿宋_GB2312" w:eastAsia="方正仿宋_GB2312" w:cs="方正仿宋_GB2312"/>
          <w:sz w:val="32"/>
          <w:szCs w:val="32"/>
          <w:lang w:val="en-US" w:eastAsia="zh-CN"/>
        </w:rPr>
        <w:t>20.039500</w:t>
      </w:r>
      <w:r>
        <w:rPr>
          <w:rFonts w:hint="eastAsia" w:ascii="方正仿宋_GB2312" w:hAnsi="方正仿宋_GB2312" w:eastAsia="方正仿宋_GB2312" w:cs="方正仿宋_GB2312"/>
          <w:sz w:val="32"/>
          <w:szCs w:val="32"/>
          <w:lang w:eastAsia="zh-CN"/>
        </w:rPr>
        <w:t>万元的绩效实现情况，了解、分析和检验资金使用是否达到预期目标，资金管理是否规范，资金使用是否有效。通过评价，发现问题，提出改进意见和建议，促进预算资金分配的规范化、资源配置的合理性，采取切实措施进一步改进和加强财政支出项目管理，从而有效提高财政资金的使用效益。</w:t>
      </w:r>
    </w:p>
    <w:p w14:paraId="2E6FEEF6">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（二）绩效评价原则、评价指标体系、评价方法、评价标准等</w:t>
      </w:r>
    </w:p>
    <w:p w14:paraId="394A9D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1.绩效评价原则</w:t>
      </w:r>
    </w:p>
    <w:p w14:paraId="7443E6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本次评价工作遵循“客观、公正、科学、规范”的原则，针对具体项目支出及其产出情况进行评价，评价结果应清晰反映考核支出和产出绩效之间的紧密对应关系。</w:t>
      </w:r>
    </w:p>
    <w:p w14:paraId="582BB4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2.评价方法</w:t>
      </w:r>
    </w:p>
    <w:p w14:paraId="021AF1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本次评价采用项目实施单位自评方式，运用目标比较法、因素分析法以及问卷调查法等方法，定量与定性相结合。</w:t>
      </w:r>
    </w:p>
    <w:p w14:paraId="28726E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3.评价指标体系</w:t>
      </w:r>
    </w:p>
    <w:p w14:paraId="499442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根据《北京市预算绩效目标管理办法》（京财绩效〔2020〕2137号）及《北京市项目支出绩效评价管理办法》（京财绩效〔2020〕2146号）等文件要求，结合该项目的预期绩效目标，以资金使用结果为导向，对项目进行综合评价。评价指标包括产出、效益、成本、满意度4个一级指标；数量、质量、时效、经济成本、社会效益、</w:t>
      </w:r>
      <w:r>
        <w:rPr>
          <w:rFonts w:hint="default" w:ascii="方正仿宋_GB2312" w:hAnsi="方正仿宋_GB2312" w:eastAsia="方正仿宋_GB2312" w:cs="方正仿宋_GB2312"/>
          <w:sz w:val="32"/>
          <w:szCs w:val="32"/>
          <w:lang w:eastAsia="zh-CN"/>
        </w:rPr>
        <w:t>可持续影响</w:t>
      </w:r>
      <w:r>
        <w:rPr>
          <w:rFonts w:hint="eastAsia" w:ascii="方正仿宋_GB2312" w:hAnsi="方正仿宋_GB2312" w:eastAsia="方正仿宋_GB2312" w:cs="方正仿宋_GB2312"/>
          <w:sz w:val="32"/>
          <w:szCs w:val="32"/>
          <w:lang w:eastAsia="zh-CN"/>
        </w:rPr>
        <w:t>、服务对象满意度7个二级指标，并根据二级指标细化为1</w:t>
      </w:r>
      <w:r>
        <w:rPr>
          <w:rFonts w:hint="default" w:ascii="方正仿宋_GB2312" w:hAnsi="方正仿宋_GB2312" w:eastAsia="方正仿宋_GB2312" w:cs="方正仿宋_GB2312"/>
          <w:sz w:val="32"/>
          <w:szCs w:val="32"/>
          <w:lang w:eastAsia="zh-CN"/>
        </w:rPr>
        <w:t>0</w:t>
      </w:r>
      <w:r>
        <w:rPr>
          <w:rFonts w:hint="eastAsia" w:ascii="方正仿宋_GB2312" w:hAnsi="方正仿宋_GB2312" w:eastAsia="方正仿宋_GB2312" w:cs="方正仿宋_GB2312"/>
          <w:sz w:val="32"/>
          <w:szCs w:val="32"/>
          <w:lang w:eastAsia="zh-CN"/>
        </w:rPr>
        <w:t>个三级指标，分值设置满分100分，其中：</w:t>
      </w:r>
      <w:r>
        <w:rPr>
          <w:rFonts w:hint="eastAsia" w:ascii="方正仿宋_GB2312" w:hAnsi="方正仿宋_GB2312" w:eastAsia="方正仿宋_GB2312" w:cs="方正仿宋_GB2312"/>
          <w:sz w:val="32"/>
          <w:szCs w:val="32"/>
          <w:lang w:val="en-US" w:eastAsia="zh-CN"/>
        </w:rPr>
        <w:t>预算执行总分10分，产出</w:t>
      </w:r>
      <w:r>
        <w:rPr>
          <w:rFonts w:hint="eastAsia" w:ascii="方正仿宋_GB2312" w:hAnsi="方正仿宋_GB2312" w:eastAsia="方正仿宋_GB2312" w:cs="方正仿宋_GB2312"/>
          <w:sz w:val="32"/>
          <w:szCs w:val="32"/>
          <w:lang w:eastAsia="zh-CN"/>
        </w:rPr>
        <w:t>总分</w:t>
      </w:r>
      <w:r>
        <w:rPr>
          <w:rFonts w:hint="eastAsia" w:ascii="方正仿宋_GB2312" w:hAnsi="方正仿宋_GB2312" w:eastAsia="方正仿宋_GB2312" w:cs="方正仿宋_GB2312"/>
          <w:sz w:val="32"/>
          <w:szCs w:val="32"/>
          <w:lang w:val="en-US" w:eastAsia="zh-CN"/>
        </w:rPr>
        <w:t>4</w:t>
      </w:r>
      <w:r>
        <w:rPr>
          <w:rFonts w:hint="default" w:ascii="方正仿宋_GB2312" w:hAnsi="方正仿宋_GB2312" w:eastAsia="方正仿宋_GB2312" w:cs="方正仿宋_GB2312"/>
          <w:sz w:val="32"/>
          <w:szCs w:val="32"/>
          <w:lang w:eastAsia="zh-CN"/>
        </w:rPr>
        <w:t>0</w:t>
      </w:r>
      <w:r>
        <w:rPr>
          <w:rFonts w:hint="eastAsia" w:ascii="方正仿宋_GB2312" w:hAnsi="方正仿宋_GB2312" w:eastAsia="方正仿宋_GB2312" w:cs="方正仿宋_GB2312"/>
          <w:sz w:val="32"/>
          <w:szCs w:val="32"/>
          <w:lang w:eastAsia="zh-CN"/>
        </w:rPr>
        <w:t>分，</w:t>
      </w:r>
      <w:r>
        <w:rPr>
          <w:rFonts w:hint="eastAsia" w:ascii="方正仿宋_GB2312" w:hAnsi="方正仿宋_GB2312" w:eastAsia="方正仿宋_GB2312" w:cs="方正仿宋_GB2312"/>
          <w:sz w:val="32"/>
          <w:szCs w:val="32"/>
          <w:lang w:val="en-US" w:eastAsia="zh-CN"/>
        </w:rPr>
        <w:t>效益</w:t>
      </w:r>
      <w:r>
        <w:rPr>
          <w:rFonts w:hint="eastAsia" w:ascii="方正仿宋_GB2312" w:hAnsi="方正仿宋_GB2312" w:eastAsia="方正仿宋_GB2312" w:cs="方正仿宋_GB2312"/>
          <w:sz w:val="32"/>
          <w:szCs w:val="32"/>
          <w:lang w:eastAsia="zh-CN"/>
        </w:rPr>
        <w:t>总分</w:t>
      </w:r>
      <w:r>
        <w:rPr>
          <w:rFonts w:hint="default" w:ascii="方正仿宋_GB2312" w:hAnsi="方正仿宋_GB2312" w:eastAsia="方正仿宋_GB2312" w:cs="方正仿宋_GB2312"/>
          <w:sz w:val="32"/>
          <w:szCs w:val="32"/>
          <w:lang w:eastAsia="zh-CN"/>
        </w:rPr>
        <w:t>40</w:t>
      </w:r>
      <w:r>
        <w:rPr>
          <w:rFonts w:hint="eastAsia" w:ascii="方正仿宋_GB2312" w:hAnsi="方正仿宋_GB2312" w:eastAsia="方正仿宋_GB2312" w:cs="方正仿宋_GB2312"/>
          <w:sz w:val="32"/>
          <w:szCs w:val="32"/>
          <w:lang w:eastAsia="zh-CN"/>
        </w:rPr>
        <w:t>分，</w:t>
      </w:r>
      <w:r>
        <w:rPr>
          <w:rFonts w:hint="eastAsia" w:ascii="方正仿宋_GB2312" w:hAnsi="方正仿宋_GB2312" w:eastAsia="方正仿宋_GB2312" w:cs="方正仿宋_GB2312"/>
          <w:sz w:val="32"/>
          <w:szCs w:val="32"/>
          <w:lang w:val="en-US" w:eastAsia="zh-CN"/>
        </w:rPr>
        <w:t>成本</w:t>
      </w:r>
      <w:r>
        <w:rPr>
          <w:rFonts w:hint="eastAsia" w:ascii="方正仿宋_GB2312" w:hAnsi="方正仿宋_GB2312" w:eastAsia="方正仿宋_GB2312" w:cs="方正仿宋_GB2312"/>
          <w:sz w:val="32"/>
          <w:szCs w:val="32"/>
          <w:lang w:eastAsia="zh-CN"/>
        </w:rPr>
        <w:t>总分</w:t>
      </w:r>
      <w:r>
        <w:rPr>
          <w:rFonts w:hint="default" w:ascii="方正仿宋_GB2312" w:hAnsi="方正仿宋_GB2312" w:eastAsia="方正仿宋_GB2312" w:cs="方正仿宋_GB2312"/>
          <w:sz w:val="32"/>
          <w:szCs w:val="32"/>
          <w:lang w:eastAsia="zh-CN"/>
        </w:rPr>
        <w:t>5</w:t>
      </w:r>
      <w:r>
        <w:rPr>
          <w:rFonts w:hint="eastAsia" w:ascii="方正仿宋_GB2312" w:hAnsi="方正仿宋_GB2312" w:eastAsia="方正仿宋_GB2312" w:cs="方正仿宋_GB2312"/>
          <w:sz w:val="32"/>
          <w:szCs w:val="32"/>
          <w:lang w:eastAsia="zh-CN"/>
        </w:rPr>
        <w:t>分，</w:t>
      </w:r>
      <w:r>
        <w:rPr>
          <w:rFonts w:hint="eastAsia" w:ascii="方正仿宋_GB2312" w:hAnsi="方正仿宋_GB2312" w:eastAsia="方正仿宋_GB2312" w:cs="方正仿宋_GB2312"/>
          <w:sz w:val="32"/>
          <w:szCs w:val="32"/>
          <w:lang w:val="en-US" w:eastAsia="zh-CN"/>
        </w:rPr>
        <w:t>满意度</w:t>
      </w:r>
      <w:r>
        <w:rPr>
          <w:rFonts w:hint="eastAsia" w:ascii="方正仿宋_GB2312" w:hAnsi="方正仿宋_GB2312" w:eastAsia="方正仿宋_GB2312" w:cs="方正仿宋_GB2312"/>
          <w:sz w:val="32"/>
          <w:szCs w:val="32"/>
          <w:lang w:eastAsia="zh-CN"/>
        </w:rPr>
        <w:t>总分</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lang w:eastAsia="zh-CN"/>
        </w:rPr>
        <w:t>分。</w:t>
      </w:r>
    </w:p>
    <w:p w14:paraId="2E5081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（1）</w:t>
      </w:r>
      <w:r>
        <w:rPr>
          <w:rFonts w:hint="eastAsia" w:ascii="方正仿宋_GB2312" w:hAnsi="方正仿宋_GB2312" w:eastAsia="方正仿宋_GB2312" w:cs="方正仿宋_GB2312"/>
          <w:sz w:val="32"/>
          <w:szCs w:val="32"/>
          <w:lang w:val="en-US" w:eastAsia="zh-CN"/>
        </w:rPr>
        <w:t>产出指标</w:t>
      </w:r>
      <w:r>
        <w:rPr>
          <w:rFonts w:hint="eastAsia" w:ascii="方正仿宋_GB2312" w:hAnsi="方正仿宋_GB2312" w:eastAsia="方正仿宋_GB2312" w:cs="方正仿宋_GB2312"/>
          <w:sz w:val="32"/>
          <w:szCs w:val="32"/>
          <w:lang w:eastAsia="zh-CN"/>
        </w:rPr>
        <w:t>：分值</w:t>
      </w:r>
      <w:r>
        <w:rPr>
          <w:rFonts w:hint="eastAsia" w:ascii="方正仿宋_GB2312" w:hAnsi="方正仿宋_GB2312" w:eastAsia="方正仿宋_GB2312" w:cs="方正仿宋_GB2312"/>
          <w:sz w:val="32"/>
          <w:szCs w:val="32"/>
          <w:lang w:val="en-US" w:eastAsia="zh-CN"/>
        </w:rPr>
        <w:t>4</w:t>
      </w:r>
      <w:r>
        <w:rPr>
          <w:rFonts w:hint="default" w:ascii="方正仿宋_GB2312" w:hAnsi="方正仿宋_GB2312" w:eastAsia="方正仿宋_GB2312" w:cs="方正仿宋_GB2312"/>
          <w:sz w:val="32"/>
          <w:szCs w:val="32"/>
          <w:lang w:eastAsia="zh-CN"/>
        </w:rPr>
        <w:t>0</w:t>
      </w:r>
      <w:r>
        <w:rPr>
          <w:rFonts w:hint="eastAsia" w:ascii="方正仿宋_GB2312" w:hAnsi="方正仿宋_GB2312" w:eastAsia="方正仿宋_GB2312" w:cs="方正仿宋_GB2312"/>
          <w:sz w:val="32"/>
          <w:szCs w:val="32"/>
          <w:lang w:eastAsia="zh-CN"/>
        </w:rPr>
        <w:t>分，从数量、质量、时效三个方面评价项目产出完成情况。</w:t>
      </w:r>
    </w:p>
    <w:p w14:paraId="45D5E7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eastAsia="zh-CN"/>
        </w:rPr>
        <w:t>（2）</w:t>
      </w:r>
      <w:r>
        <w:rPr>
          <w:rFonts w:hint="eastAsia" w:ascii="方正仿宋_GB2312" w:hAnsi="方正仿宋_GB2312" w:eastAsia="方正仿宋_GB2312" w:cs="方正仿宋_GB2312"/>
          <w:sz w:val="32"/>
          <w:szCs w:val="32"/>
          <w:lang w:val="en-US" w:eastAsia="zh-CN"/>
        </w:rPr>
        <w:t>效益指标</w:t>
      </w:r>
      <w:r>
        <w:rPr>
          <w:rFonts w:hint="eastAsia" w:ascii="方正仿宋_GB2312" w:hAnsi="方正仿宋_GB2312" w:eastAsia="方正仿宋_GB2312" w:cs="方正仿宋_GB2312"/>
          <w:sz w:val="32"/>
          <w:szCs w:val="32"/>
          <w:lang w:eastAsia="zh-CN"/>
        </w:rPr>
        <w:t>：分值</w:t>
      </w:r>
      <w:r>
        <w:rPr>
          <w:rFonts w:hint="default" w:ascii="方正仿宋_GB2312" w:hAnsi="方正仿宋_GB2312" w:eastAsia="方正仿宋_GB2312" w:cs="方正仿宋_GB2312"/>
          <w:sz w:val="32"/>
          <w:szCs w:val="32"/>
          <w:lang w:eastAsia="zh-CN"/>
        </w:rPr>
        <w:t>40</w:t>
      </w:r>
      <w:r>
        <w:rPr>
          <w:rFonts w:hint="eastAsia" w:ascii="方正仿宋_GB2312" w:hAnsi="方正仿宋_GB2312" w:eastAsia="方正仿宋_GB2312" w:cs="方正仿宋_GB2312"/>
          <w:sz w:val="32"/>
          <w:szCs w:val="32"/>
          <w:lang w:eastAsia="zh-CN"/>
        </w:rPr>
        <w:t>分，从</w:t>
      </w:r>
      <w:r>
        <w:rPr>
          <w:rFonts w:hint="eastAsia" w:ascii="方正仿宋_GB2312" w:hAnsi="方正仿宋_GB2312" w:eastAsia="方正仿宋_GB2312" w:cs="方正仿宋_GB2312"/>
          <w:sz w:val="32"/>
          <w:szCs w:val="32"/>
          <w:lang w:val="en-US" w:eastAsia="zh-CN"/>
        </w:rPr>
        <w:t>社会效益和</w:t>
      </w:r>
      <w:r>
        <w:rPr>
          <w:rFonts w:hint="default" w:ascii="方正仿宋_GB2312" w:hAnsi="方正仿宋_GB2312" w:eastAsia="方正仿宋_GB2312" w:cs="方正仿宋_GB2312"/>
          <w:sz w:val="32"/>
          <w:szCs w:val="32"/>
          <w:lang w:eastAsia="zh-CN"/>
        </w:rPr>
        <w:t>可持续影响</w:t>
      </w:r>
      <w:r>
        <w:rPr>
          <w:rFonts w:hint="eastAsia" w:ascii="方正仿宋_GB2312" w:hAnsi="方正仿宋_GB2312" w:eastAsia="方正仿宋_GB2312" w:cs="方正仿宋_GB2312"/>
          <w:sz w:val="32"/>
          <w:szCs w:val="32"/>
          <w:lang w:val="en-US" w:eastAsia="zh-CN"/>
        </w:rPr>
        <w:t>两</w:t>
      </w:r>
      <w:r>
        <w:rPr>
          <w:rFonts w:hint="eastAsia" w:ascii="方正仿宋_GB2312" w:hAnsi="方正仿宋_GB2312" w:eastAsia="方正仿宋_GB2312" w:cs="方正仿宋_GB2312"/>
          <w:sz w:val="32"/>
          <w:szCs w:val="32"/>
          <w:lang w:eastAsia="zh-CN"/>
        </w:rPr>
        <w:t>方面综合评价项目实施带来的实施效益</w:t>
      </w:r>
      <w:r>
        <w:rPr>
          <w:rFonts w:hint="eastAsia" w:ascii="方正仿宋_GB2312" w:hAnsi="方正仿宋_GB2312" w:eastAsia="方正仿宋_GB2312" w:cs="方正仿宋_GB2312"/>
          <w:sz w:val="32"/>
          <w:szCs w:val="32"/>
          <w:lang w:val="en-US" w:eastAsia="zh-CN"/>
        </w:rPr>
        <w:t>。</w:t>
      </w:r>
    </w:p>
    <w:p w14:paraId="5999A1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（3）</w:t>
      </w:r>
      <w:r>
        <w:rPr>
          <w:rFonts w:hint="eastAsia" w:ascii="方正仿宋_GB2312" w:hAnsi="方正仿宋_GB2312" w:eastAsia="方正仿宋_GB2312" w:cs="方正仿宋_GB2312"/>
          <w:sz w:val="32"/>
          <w:szCs w:val="32"/>
          <w:lang w:val="en-US" w:eastAsia="zh-CN"/>
        </w:rPr>
        <w:t>成本指标</w:t>
      </w:r>
      <w:r>
        <w:rPr>
          <w:rFonts w:hint="eastAsia" w:ascii="方正仿宋_GB2312" w:hAnsi="方正仿宋_GB2312" w:eastAsia="方正仿宋_GB2312" w:cs="方正仿宋_GB2312"/>
          <w:sz w:val="32"/>
          <w:szCs w:val="32"/>
          <w:lang w:eastAsia="zh-CN"/>
        </w:rPr>
        <w:t>：分值</w:t>
      </w:r>
      <w:r>
        <w:rPr>
          <w:rFonts w:hint="default" w:ascii="方正仿宋_GB2312" w:hAnsi="方正仿宋_GB2312" w:eastAsia="方正仿宋_GB2312" w:cs="方正仿宋_GB2312"/>
          <w:sz w:val="32"/>
          <w:szCs w:val="32"/>
          <w:lang w:eastAsia="zh-CN"/>
        </w:rPr>
        <w:t>5</w:t>
      </w:r>
      <w:r>
        <w:rPr>
          <w:rFonts w:hint="eastAsia" w:ascii="方正仿宋_GB2312" w:hAnsi="方正仿宋_GB2312" w:eastAsia="方正仿宋_GB2312" w:cs="方正仿宋_GB2312"/>
          <w:sz w:val="32"/>
          <w:szCs w:val="32"/>
          <w:lang w:eastAsia="zh-CN"/>
        </w:rPr>
        <w:t>分，从经济成本</w:t>
      </w:r>
      <w:r>
        <w:rPr>
          <w:rFonts w:hint="eastAsia" w:ascii="方正仿宋_GB2312" w:hAnsi="方正仿宋_GB2312" w:eastAsia="方正仿宋_GB2312" w:cs="方正仿宋_GB2312"/>
          <w:sz w:val="32"/>
          <w:szCs w:val="32"/>
          <w:lang w:val="en-US" w:eastAsia="zh-CN"/>
        </w:rPr>
        <w:t>指标</w:t>
      </w:r>
      <w:r>
        <w:rPr>
          <w:rFonts w:hint="eastAsia" w:ascii="方正仿宋_GB2312" w:hAnsi="方正仿宋_GB2312" w:eastAsia="方正仿宋_GB2312" w:cs="方正仿宋_GB2312"/>
          <w:sz w:val="32"/>
          <w:szCs w:val="32"/>
          <w:lang w:eastAsia="zh-CN"/>
        </w:rPr>
        <w:t>评价</w:t>
      </w:r>
      <w:r>
        <w:rPr>
          <w:rFonts w:hint="eastAsia" w:ascii="方正仿宋_GB2312" w:hAnsi="方正仿宋_GB2312" w:eastAsia="方正仿宋_GB2312" w:cs="方正仿宋_GB2312"/>
          <w:sz w:val="32"/>
          <w:szCs w:val="32"/>
          <w:lang w:val="en-US" w:eastAsia="zh-CN"/>
        </w:rPr>
        <w:t>成本</w:t>
      </w:r>
      <w:r>
        <w:rPr>
          <w:rFonts w:hint="eastAsia" w:ascii="方正仿宋_GB2312" w:hAnsi="方正仿宋_GB2312" w:eastAsia="方正仿宋_GB2312" w:cs="方正仿宋_GB2312"/>
          <w:sz w:val="32"/>
          <w:szCs w:val="32"/>
          <w:lang w:eastAsia="zh-CN"/>
        </w:rPr>
        <w:t>。</w:t>
      </w:r>
    </w:p>
    <w:p w14:paraId="60BB78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（4）</w:t>
      </w:r>
      <w:r>
        <w:rPr>
          <w:rFonts w:hint="eastAsia" w:ascii="方正仿宋_GB2312" w:hAnsi="方正仿宋_GB2312" w:eastAsia="方正仿宋_GB2312" w:cs="方正仿宋_GB2312"/>
          <w:sz w:val="32"/>
          <w:szCs w:val="32"/>
          <w:lang w:val="en-US" w:eastAsia="zh-CN"/>
        </w:rPr>
        <w:t>满意度指标</w:t>
      </w:r>
      <w:r>
        <w:rPr>
          <w:rFonts w:hint="eastAsia" w:ascii="方正仿宋_GB2312" w:hAnsi="方正仿宋_GB2312" w:eastAsia="方正仿宋_GB2312" w:cs="方正仿宋_GB2312"/>
          <w:sz w:val="32"/>
          <w:szCs w:val="32"/>
          <w:lang w:eastAsia="zh-CN"/>
        </w:rPr>
        <w:t>：分值</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lang w:eastAsia="zh-CN"/>
        </w:rPr>
        <w:t>分，</w:t>
      </w:r>
      <w:r>
        <w:rPr>
          <w:rFonts w:hint="eastAsia" w:ascii="方正仿宋_GB2312" w:hAnsi="方正仿宋_GB2312" w:eastAsia="方正仿宋_GB2312" w:cs="方正仿宋_GB2312"/>
          <w:sz w:val="32"/>
          <w:szCs w:val="32"/>
          <w:lang w:val="en-US" w:eastAsia="zh-CN"/>
        </w:rPr>
        <w:t>评价</w:t>
      </w:r>
      <w:r>
        <w:rPr>
          <w:rFonts w:hint="default" w:ascii="方正仿宋_GB2312" w:hAnsi="方正仿宋_GB2312" w:eastAsia="方正仿宋_GB2312" w:cs="方正仿宋_GB2312"/>
          <w:sz w:val="32"/>
          <w:szCs w:val="32"/>
          <w:lang w:eastAsia="zh-CN"/>
        </w:rPr>
        <w:t>教师</w:t>
      </w:r>
      <w:r>
        <w:rPr>
          <w:rFonts w:hint="eastAsia" w:ascii="方正仿宋_GB2312" w:hAnsi="方正仿宋_GB2312" w:eastAsia="方正仿宋_GB2312" w:cs="方正仿宋_GB2312"/>
          <w:sz w:val="32"/>
          <w:szCs w:val="32"/>
          <w:lang w:eastAsia="zh-CN"/>
        </w:rPr>
        <w:t>满意度情况。</w:t>
      </w:r>
    </w:p>
    <w:p w14:paraId="185264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4.评价标准</w:t>
      </w:r>
    </w:p>
    <w:p w14:paraId="2E5E6A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绩效评价结果采取评分和评级相结合的方式，总分设置为100分，等级划分为4档：90（含）</w:t>
      </w:r>
      <w:r>
        <w:rPr>
          <w:rFonts w:hint="default"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eastAsia="zh-CN"/>
        </w:rPr>
        <w:t>100分为优，80（含）</w:t>
      </w:r>
      <w:r>
        <w:rPr>
          <w:rFonts w:hint="default"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eastAsia="zh-CN"/>
        </w:rPr>
        <w:t>90分为良，60（含）</w:t>
      </w:r>
      <w:r>
        <w:rPr>
          <w:rFonts w:hint="default"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eastAsia="zh-CN"/>
        </w:rPr>
        <w:t>80分为中，60分以下为差。</w:t>
      </w:r>
    </w:p>
    <w:p w14:paraId="290B4774">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（三）绩效评价工作过程</w:t>
      </w:r>
    </w:p>
    <w:p w14:paraId="6180A3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1.前期准备：制定评价工作方案，完善评价指标体系，确定绩效评价方法，整理项目执行情况和取得的各项成效，在与项目负责人充分沟通的基础上进行项目资料收集、整理工作。</w:t>
      </w:r>
    </w:p>
    <w:p w14:paraId="27B85E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2.组织实施：在前期工作基础上，深入分析项目资料，与项目负责人及时沟通，全面了解项目经费使用和组织实施管理情况，对投入、产出和效益效果进行全方位评价。</w:t>
      </w:r>
    </w:p>
    <w:p w14:paraId="1F8087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3.分析评价：根据收集到的项目相关资料及现场勘查结果，对项目决策、过程、产出、效益情况进行综合分析，按照评价标准逐条研判打分。</w:t>
      </w:r>
    </w:p>
    <w:p w14:paraId="55480C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4.报告出具：汇总各项指标评价情况，明确评价结果，反映绩效情况。</w:t>
      </w:r>
    </w:p>
    <w:p w14:paraId="03163A1B">
      <w:pPr>
        <w:spacing w:line="600" w:lineRule="exact"/>
        <w:ind w:firstLine="640" w:firstLineChars="200"/>
        <w:rPr>
          <w:rFonts w:hint="eastAsia" w:ascii="Times New Roman" w:hAnsi="Times New Roman" w:eastAsia="黑体" w:cs="黑体"/>
          <w:sz w:val="32"/>
          <w:szCs w:val="32"/>
        </w:rPr>
      </w:pPr>
      <w:r>
        <w:rPr>
          <w:rFonts w:hint="eastAsia" w:ascii="Times New Roman" w:hAnsi="Times New Roman" w:eastAsia="黑体" w:cs="黑体"/>
          <w:sz w:val="32"/>
          <w:szCs w:val="32"/>
        </w:rPr>
        <w:t>三、综合评价情况及评价结论</w:t>
      </w:r>
    </w:p>
    <w:p w14:paraId="30E717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w:t>
      </w:r>
      <w:r>
        <w:rPr>
          <w:rFonts w:hint="default"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eastAsia="zh-CN"/>
        </w:rPr>
        <w:t>年北京医药职工大学（中国北京同仁堂（集团）有限责任公司党校）安排</w:t>
      </w:r>
      <w:r>
        <w:rPr>
          <w:rFonts w:hint="default" w:ascii="方正仿宋_GB2312" w:hAnsi="方正仿宋_GB2312" w:eastAsia="方正仿宋_GB2312" w:cs="方正仿宋_GB2312"/>
          <w:sz w:val="32"/>
          <w:szCs w:val="32"/>
          <w:lang w:val="en-US" w:eastAsia="zh-CN"/>
        </w:rPr>
        <w:t>20.</w:t>
      </w:r>
      <w:r>
        <w:rPr>
          <w:rFonts w:hint="eastAsia" w:ascii="方正仿宋_GB2312" w:hAnsi="方正仿宋_GB2312" w:eastAsia="方正仿宋_GB2312" w:cs="方正仿宋_GB2312"/>
          <w:sz w:val="32"/>
          <w:szCs w:val="32"/>
          <w:lang w:val="en-US" w:eastAsia="zh-CN"/>
        </w:rPr>
        <w:t>039500</w:t>
      </w:r>
      <w:r>
        <w:rPr>
          <w:rFonts w:hint="default" w:ascii="方正仿宋_GB2312" w:hAnsi="方正仿宋_GB2312" w:eastAsia="方正仿宋_GB2312" w:cs="方正仿宋_GB2312"/>
          <w:sz w:val="32"/>
          <w:szCs w:val="32"/>
          <w:lang w:val="en-US" w:eastAsia="zh-CN"/>
        </w:rPr>
        <w:t>万元</w:t>
      </w:r>
      <w:r>
        <w:rPr>
          <w:rFonts w:hint="eastAsia" w:ascii="方正仿宋_GB2312" w:hAnsi="方正仿宋_GB2312" w:eastAsia="方正仿宋_GB2312" w:cs="方正仿宋_GB2312"/>
          <w:sz w:val="32"/>
          <w:szCs w:val="32"/>
          <w:lang w:val="en-US" w:eastAsia="zh-CN"/>
        </w:rPr>
        <w:t>预算资金，支持专业教师实践教学能力提升项目，项目综合绩效自评得分95.99分，评价等级为“优”。总体来看，本项目在提升教师实践教学能力方面取得了显著成效，项目决策科学合理，实施过程规范有序，产出成果丰富，效益明显。</w:t>
      </w:r>
    </w:p>
    <w:p w14:paraId="5C4DE754">
      <w:pPr>
        <w:spacing w:line="600" w:lineRule="exact"/>
        <w:ind w:firstLine="640" w:firstLineChars="200"/>
        <w:rPr>
          <w:rFonts w:hint="eastAsia" w:ascii="Times New Roman" w:hAnsi="Times New Roman" w:eastAsia="黑体" w:cs="黑体"/>
          <w:sz w:val="32"/>
          <w:szCs w:val="32"/>
        </w:rPr>
      </w:pPr>
      <w:r>
        <w:rPr>
          <w:rFonts w:hint="eastAsia" w:ascii="Times New Roman" w:hAnsi="Times New Roman" w:eastAsia="黑体" w:cs="黑体"/>
          <w:sz w:val="32"/>
          <w:szCs w:val="32"/>
        </w:rPr>
        <w:t>四、绩效评价指标分析</w:t>
      </w:r>
    </w:p>
    <w:p w14:paraId="27B76DC8">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（一）项目决策情况</w:t>
      </w:r>
    </w:p>
    <w:p w14:paraId="0BD573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项目决策依据符合项目实施单位发展规划和部门年度工作计划，并根据实际情况需要制定了年度执行计划。决策过程符合申报条件，申报、批复程序符合相关管理办法。项目立项前进行了事前绩效评估。按照工作要求编制申报材料，立项依据充分，大部分绩效指标细化，预算编制科学合理，资金分配较为合理。</w:t>
      </w:r>
    </w:p>
    <w:p w14:paraId="7A1A3528">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（二）项目过程情况</w:t>
      </w:r>
    </w:p>
    <w:p w14:paraId="647E27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项目在执行过程中严格按照项目管理要求和资金使用制度规定，做到项目资金专款专用、按项目独立核算、无截留、挤占、挪用、虚列支出等情况发生。</w:t>
      </w:r>
    </w:p>
    <w:p w14:paraId="7EC2AC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Times New Roman" w:hAnsi="Times New Roman"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为确保202</w:t>
      </w:r>
      <w:r>
        <w:rPr>
          <w:rFonts w:hint="default"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val="en-US" w:eastAsia="zh-CN"/>
        </w:rPr>
        <w:t>年度专业教师实践教学能力提升项目工作</w:t>
      </w:r>
      <w:r>
        <w:rPr>
          <w:rFonts w:hint="default" w:ascii="方正仿宋_GB2312" w:hAnsi="方正仿宋_GB2312" w:eastAsia="方正仿宋_GB2312" w:cs="方正仿宋_GB2312"/>
          <w:sz w:val="32"/>
          <w:szCs w:val="32"/>
          <w:lang w:val="en-US" w:eastAsia="zh-CN"/>
        </w:rPr>
        <w:t>的</w:t>
      </w:r>
      <w:r>
        <w:rPr>
          <w:rFonts w:hint="eastAsia" w:ascii="方正仿宋_GB2312" w:hAnsi="方正仿宋_GB2312" w:eastAsia="方正仿宋_GB2312" w:cs="方正仿宋_GB2312"/>
          <w:sz w:val="32"/>
          <w:szCs w:val="32"/>
          <w:lang w:val="en-US" w:eastAsia="zh-CN"/>
        </w:rPr>
        <w:t>有序开展，学校采取了一系列管控措施，具体为：一是明确责任分工。为保障项目顺利实施，各环节工作规范合理，由主管副校长负责监督实施，项目组织机构健全，职责分工明确。二是落实监督检查机制。通过内部监督检查机制定期对项目实施进展情况进行跟踪总结，对项目执行过程中存在的问题及时发现、整改，确保项目顺利有序开展。三是把控项目时间进度。为保证项目的顺利实施，结合实际情况，细化时间安排，确定每一阶段任务的详细计划进度，在确保项目质量和安全的原则下，控制项目进度。</w:t>
      </w:r>
    </w:p>
    <w:p w14:paraId="32DBC553">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（三）项目产出情况</w:t>
      </w:r>
    </w:p>
    <w:p w14:paraId="4E0BE0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项目年度工作均按照预期目标完成，各项产出成果在年度内完成</w:t>
      </w:r>
      <w:r>
        <w:rPr>
          <w:rFonts w:hint="default"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lang w:val="en-US" w:eastAsia="zh-CN"/>
        </w:rPr>
        <w:t>质量达标，项目实施过程中采取了一定成本节约措施。项目产出按照数量、质量、时效三个方面进行指标设定。根据项目实际执行情况，设置符合项目实际特点的三级产出指标，用于指导、跟踪和评价项目执行情况。</w:t>
      </w:r>
    </w:p>
    <w:p w14:paraId="526D44BE">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（四）项目效益情况</w:t>
      </w:r>
    </w:p>
    <w:p w14:paraId="0D41E2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围绕年度总体目标，将项目绩效指标进一步细化为</w:t>
      </w:r>
      <w:r>
        <w:rPr>
          <w:rFonts w:hint="default" w:ascii="方正仿宋_GB2312" w:hAnsi="方正仿宋_GB2312" w:eastAsia="方正仿宋_GB2312" w:cs="方正仿宋_GB2312"/>
          <w:sz w:val="32"/>
          <w:szCs w:val="32"/>
          <w:lang w:val="en-US" w:eastAsia="zh-CN"/>
        </w:rPr>
        <w:t>社会效益和可持续影响</w:t>
      </w:r>
      <w:r>
        <w:rPr>
          <w:rFonts w:hint="eastAsia" w:ascii="方正仿宋_GB2312" w:hAnsi="方正仿宋_GB2312" w:eastAsia="方正仿宋_GB2312" w:cs="方正仿宋_GB2312"/>
          <w:sz w:val="32"/>
          <w:szCs w:val="32"/>
          <w:lang w:val="en-US" w:eastAsia="zh-CN"/>
        </w:rPr>
        <w:t>指标，大部分绩效指标科学合理，与年度工作内容、绩效目标相匹配。项目效益按照社会效益</w:t>
      </w:r>
      <w:r>
        <w:rPr>
          <w:rFonts w:hint="default" w:ascii="方正仿宋_GB2312" w:hAnsi="方正仿宋_GB2312" w:eastAsia="方正仿宋_GB2312" w:cs="方正仿宋_GB2312"/>
          <w:sz w:val="32"/>
          <w:szCs w:val="32"/>
          <w:lang w:val="en-US" w:eastAsia="zh-CN"/>
        </w:rPr>
        <w:t>和可持续影响两</w:t>
      </w:r>
      <w:r>
        <w:rPr>
          <w:rFonts w:hint="eastAsia" w:ascii="方正仿宋_GB2312" w:hAnsi="方正仿宋_GB2312" w:eastAsia="方正仿宋_GB2312" w:cs="方正仿宋_GB2312"/>
          <w:sz w:val="32"/>
          <w:szCs w:val="32"/>
          <w:lang w:val="en-US" w:eastAsia="zh-CN"/>
        </w:rPr>
        <w:t>个方面进行指标设定，设置符合项目实际情况和特点的三级效益指标，用于指导、跟踪和评价项目执行情况。</w:t>
      </w:r>
    </w:p>
    <w:p w14:paraId="658EDAE3">
      <w:pPr>
        <w:spacing w:line="600" w:lineRule="exact"/>
        <w:ind w:firstLine="640" w:firstLineChars="200"/>
        <w:rPr>
          <w:rFonts w:hint="eastAsia" w:ascii="Times New Roman" w:hAnsi="Times New Roman" w:eastAsia="黑体" w:cs="黑体"/>
          <w:sz w:val="32"/>
          <w:szCs w:val="32"/>
        </w:rPr>
      </w:pPr>
      <w:r>
        <w:rPr>
          <w:rFonts w:hint="eastAsia" w:ascii="Times New Roman" w:hAnsi="Times New Roman" w:eastAsia="黑体" w:cs="黑体"/>
          <w:sz w:val="32"/>
          <w:szCs w:val="32"/>
          <w:lang w:eastAsia="zh-CN"/>
        </w:rPr>
        <w:t>五、</w:t>
      </w:r>
      <w:r>
        <w:rPr>
          <w:rFonts w:hint="eastAsia" w:ascii="Times New Roman" w:hAnsi="Times New Roman" w:eastAsia="黑体" w:cs="黑体"/>
          <w:sz w:val="32"/>
          <w:szCs w:val="32"/>
        </w:rPr>
        <w:t>主要经验及做法、存在的问题及原因分析</w:t>
      </w:r>
    </w:p>
    <w:p w14:paraId="7D92C391">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（一）主要经验及做法</w:t>
      </w:r>
    </w:p>
    <w:p w14:paraId="000742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科学规划，明确目标与内容</w:t>
      </w:r>
      <w:r>
        <w:rPr>
          <w:rFonts w:hint="default"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lang w:val="en-US" w:eastAsia="zh-CN"/>
        </w:rPr>
        <w:t>在项目启动之初，深入调研教师队伍现状、教学需求以及行业对</w:t>
      </w:r>
      <w:r>
        <w:rPr>
          <w:rFonts w:hint="default" w:ascii="方正仿宋_GB2312" w:hAnsi="方正仿宋_GB2312" w:eastAsia="方正仿宋_GB2312" w:cs="方正仿宋_GB2312"/>
          <w:sz w:val="32"/>
          <w:szCs w:val="32"/>
          <w:lang w:val="en-US" w:eastAsia="zh-CN"/>
        </w:rPr>
        <w:t>医</w:t>
      </w:r>
      <w:r>
        <w:rPr>
          <w:rFonts w:hint="eastAsia" w:ascii="方正仿宋_GB2312" w:hAnsi="方正仿宋_GB2312" w:eastAsia="方正仿宋_GB2312" w:cs="方正仿宋_GB2312"/>
          <w:sz w:val="32"/>
          <w:szCs w:val="32"/>
          <w:lang w:val="en-US" w:eastAsia="zh-CN"/>
        </w:rPr>
        <w:t>药专业人才实践能力的要求，结合道地药材产区资源特色，确定实践教学能力提升的目标，即增强教师在道地药材</w:t>
      </w:r>
      <w:r>
        <w:rPr>
          <w:rFonts w:hint="default" w:ascii="方正仿宋_GB2312" w:hAnsi="方正仿宋_GB2312" w:eastAsia="方正仿宋_GB2312" w:cs="方正仿宋_GB2312"/>
          <w:sz w:val="32"/>
          <w:szCs w:val="32"/>
          <w:lang w:val="en-US" w:eastAsia="zh-CN"/>
        </w:rPr>
        <w:t>种植、加工、</w:t>
      </w:r>
      <w:r>
        <w:rPr>
          <w:rFonts w:hint="eastAsia" w:ascii="方正仿宋_GB2312" w:hAnsi="方正仿宋_GB2312" w:eastAsia="方正仿宋_GB2312" w:cs="方正仿宋_GB2312"/>
          <w:sz w:val="32"/>
          <w:szCs w:val="32"/>
          <w:lang w:val="en-US" w:eastAsia="zh-CN"/>
        </w:rPr>
        <w:t>炮制、鉴定、质量控制等核心实践领域的教学水平，为整个项目的实施指明了清晰的方向。精心设计实践内容，涵盖道地药材的种植源头、生长周期管理、规范化采收、传统与现代炮制工艺、质量标准建立等全链条实践环节，确保教师能够系统、全面地接触和学习道地药材相关实践知识与技能，避免了实践内容的碎片化和片面性。</w:t>
      </w:r>
      <w:r>
        <w:rPr>
          <w:rFonts w:hint="default" w:ascii="方正仿宋_GB2312" w:hAnsi="方正仿宋_GB2312" w:eastAsia="方正仿宋_GB2312" w:cs="方正仿宋_GB2312"/>
          <w:sz w:val="32"/>
          <w:szCs w:val="32"/>
          <w:lang w:val="en-US" w:eastAsia="zh-CN"/>
        </w:rPr>
        <w:t>因此，该</w:t>
      </w:r>
      <w:r>
        <w:rPr>
          <w:rFonts w:hint="eastAsia" w:ascii="方正仿宋_GB2312" w:hAnsi="方正仿宋_GB2312" w:eastAsia="方正仿宋_GB2312" w:cs="方正仿宋_GB2312"/>
          <w:sz w:val="32"/>
          <w:szCs w:val="32"/>
          <w:lang w:val="en-US" w:eastAsia="zh-CN"/>
        </w:rPr>
        <w:t>项目在实践中取得了显著成效，为教师队伍建设和实践教学改革提供了有益的借鉴和参考，有力推动了学校</w:t>
      </w:r>
      <w:r>
        <w:rPr>
          <w:rFonts w:hint="default" w:ascii="方正仿宋_GB2312" w:hAnsi="方正仿宋_GB2312" w:eastAsia="方正仿宋_GB2312" w:cs="方正仿宋_GB2312"/>
          <w:sz w:val="32"/>
          <w:szCs w:val="32"/>
          <w:lang w:val="en-US" w:eastAsia="zh-CN"/>
        </w:rPr>
        <w:t>医药</w:t>
      </w:r>
      <w:r>
        <w:rPr>
          <w:rFonts w:hint="eastAsia" w:ascii="方正仿宋_GB2312" w:hAnsi="方正仿宋_GB2312" w:eastAsia="方正仿宋_GB2312" w:cs="方正仿宋_GB2312"/>
          <w:sz w:val="32"/>
          <w:szCs w:val="32"/>
          <w:lang w:val="en-US" w:eastAsia="zh-CN"/>
        </w:rPr>
        <w:t>教育事业的发展。</w:t>
      </w:r>
    </w:p>
    <w:p w14:paraId="4F0E40BD">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（二）存在的问题及原因分析</w:t>
      </w:r>
    </w:p>
    <w:p w14:paraId="7551A3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绩效目标需进一步聚焦，绩效指标有待完善。围绕年度工作任务和预期效果，项目设定了绩效目标，并将绩效目标进一步细化为具体绩效指标，大部分绩效指标明确、清晰、可衡量，但绩效目标及部分绩效指标仍需完善，部分绩效指标不够科学、合理，效益指标设置较为宽泛、笼统，为定性表述，效果实现情况难以定量考核。</w:t>
      </w:r>
    </w:p>
    <w:p w14:paraId="1929ED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2.项目立项流程不够规范，缺乏教</w:t>
      </w:r>
      <w:r>
        <w:rPr>
          <w:rFonts w:hint="default" w:ascii="方正仿宋_GB2312" w:hAnsi="方正仿宋_GB2312" w:eastAsia="方正仿宋_GB2312" w:cs="方正仿宋_GB2312"/>
          <w:sz w:val="32"/>
          <w:szCs w:val="32"/>
          <w:lang w:val="en-US" w:eastAsia="zh-CN"/>
        </w:rPr>
        <w:t>师队伍</w:t>
      </w:r>
      <w:r>
        <w:rPr>
          <w:rFonts w:hint="eastAsia" w:ascii="方正仿宋_GB2312" w:hAnsi="方正仿宋_GB2312" w:eastAsia="方正仿宋_GB2312" w:cs="方正仿宋_GB2312"/>
          <w:sz w:val="32"/>
          <w:szCs w:val="32"/>
          <w:lang w:val="en-US" w:eastAsia="zh-CN"/>
        </w:rPr>
        <w:t>建设规划。项目按照工作要求开展项目立项申报工作，项目经前期调研、可行性研究，编制项目预算明细和绩效目标申报表等申报文本，项目立项经过必备的申请审批程序，针对教</w:t>
      </w:r>
      <w:r>
        <w:rPr>
          <w:rFonts w:hint="default" w:ascii="方正仿宋_GB2312" w:hAnsi="方正仿宋_GB2312" w:eastAsia="方正仿宋_GB2312" w:cs="方正仿宋_GB2312"/>
          <w:sz w:val="32"/>
          <w:szCs w:val="32"/>
          <w:lang w:val="en-US" w:eastAsia="zh-CN"/>
        </w:rPr>
        <w:t>师队伍</w:t>
      </w:r>
      <w:r>
        <w:rPr>
          <w:rFonts w:hint="eastAsia" w:ascii="方正仿宋_GB2312" w:hAnsi="方正仿宋_GB2312" w:eastAsia="方正仿宋_GB2312" w:cs="方正仿宋_GB2312"/>
          <w:sz w:val="32"/>
          <w:szCs w:val="32"/>
          <w:lang w:val="en-US" w:eastAsia="zh-CN"/>
        </w:rPr>
        <w:t>建设缺少整体层面的建设规划，教</w:t>
      </w:r>
      <w:r>
        <w:rPr>
          <w:rFonts w:hint="default" w:ascii="方正仿宋_GB2312" w:hAnsi="方正仿宋_GB2312" w:eastAsia="方正仿宋_GB2312" w:cs="方正仿宋_GB2312"/>
          <w:sz w:val="32"/>
          <w:szCs w:val="32"/>
          <w:lang w:val="en-US" w:eastAsia="zh-CN"/>
        </w:rPr>
        <w:t>师队伍</w:t>
      </w:r>
      <w:r>
        <w:rPr>
          <w:rFonts w:hint="eastAsia" w:ascii="方正仿宋_GB2312" w:hAnsi="方正仿宋_GB2312" w:eastAsia="方正仿宋_GB2312" w:cs="方正仿宋_GB2312"/>
          <w:sz w:val="32"/>
          <w:szCs w:val="32"/>
          <w:lang w:val="en-US" w:eastAsia="zh-CN"/>
        </w:rPr>
        <w:t>建设中长期发展规划与目标、未来建设方向等尚不明确。</w:t>
      </w:r>
    </w:p>
    <w:p w14:paraId="490865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方正仿宋_GB2312" w:hAnsi="方正仿宋_GB2312" w:eastAsia="方正仿宋_GB2312" w:cs="方正仿宋_GB2312"/>
          <w:sz w:val="32"/>
          <w:szCs w:val="32"/>
          <w:lang w:val="en-US" w:eastAsia="zh-CN"/>
        </w:rPr>
      </w:pPr>
      <w:r>
        <w:rPr>
          <w:rFonts w:hint="default" w:ascii="方正仿宋_GB2312" w:hAnsi="方正仿宋_GB2312" w:eastAsia="方正仿宋_GB2312" w:cs="方正仿宋_GB2312"/>
          <w:sz w:val="32"/>
          <w:szCs w:val="32"/>
          <w:lang w:val="en-US" w:eastAsia="zh-CN"/>
        </w:rPr>
        <w:t>3.效益佐证资料、满意度调查统计分析有待进一步收集、完善</w:t>
      </w:r>
      <w:r>
        <w:rPr>
          <w:rFonts w:hint="eastAsia" w:ascii="方正仿宋_GB2312" w:hAnsi="方正仿宋_GB2312" w:eastAsia="方正仿宋_GB2312" w:cs="方正仿宋_GB2312"/>
          <w:sz w:val="32"/>
          <w:szCs w:val="32"/>
          <w:lang w:val="en-US" w:eastAsia="zh-CN"/>
        </w:rPr>
        <w:t>。</w:t>
      </w:r>
      <w:r>
        <w:rPr>
          <w:rFonts w:hint="default" w:ascii="方正仿宋_GB2312" w:hAnsi="方正仿宋_GB2312" w:eastAsia="方正仿宋_GB2312" w:cs="方正仿宋_GB2312"/>
          <w:sz w:val="32"/>
          <w:szCs w:val="32"/>
          <w:lang w:val="en-US" w:eastAsia="zh-CN"/>
        </w:rPr>
        <w:t>项目年度开展教师队伍建设，对于提升</w:t>
      </w:r>
      <w:r>
        <w:rPr>
          <w:rFonts w:hint="eastAsia" w:ascii="方正仿宋_GB2312" w:hAnsi="方正仿宋_GB2312" w:eastAsia="方正仿宋_GB2312" w:cs="方正仿宋_GB2312"/>
          <w:sz w:val="32"/>
          <w:szCs w:val="32"/>
          <w:lang w:val="en-US" w:eastAsia="zh-CN"/>
        </w:rPr>
        <w:t>学校教师队伍的实践教学水平</w:t>
      </w:r>
      <w:r>
        <w:rPr>
          <w:rFonts w:hint="default" w:ascii="方正仿宋_GB2312" w:hAnsi="方正仿宋_GB2312" w:eastAsia="方正仿宋_GB2312" w:cs="方正仿宋_GB2312"/>
          <w:sz w:val="32"/>
          <w:szCs w:val="32"/>
          <w:lang w:val="en-US" w:eastAsia="zh-CN"/>
        </w:rPr>
        <w:t>起到较为明显的作用，持续跟踪和收集效益佐证资料有助于全面了解专业教师实践教学能力提升情况，及时发现问题并进行调整优化，但</w:t>
      </w:r>
      <w:r>
        <w:rPr>
          <w:rFonts w:hint="eastAsia" w:ascii="方正仿宋_GB2312" w:hAnsi="方正仿宋_GB2312" w:eastAsia="方正仿宋_GB2312" w:cs="方正仿宋_GB2312"/>
          <w:sz w:val="32"/>
          <w:szCs w:val="32"/>
          <w:lang w:val="en-US" w:eastAsia="zh-CN"/>
        </w:rPr>
        <w:t>效益佐证资料还不够全面，缺乏系统性汇总收集</w:t>
      </w:r>
      <w:r>
        <w:rPr>
          <w:rFonts w:hint="default" w:ascii="方正仿宋_GB2312" w:hAnsi="方正仿宋_GB2312" w:eastAsia="方正仿宋_GB2312" w:cs="方正仿宋_GB2312"/>
          <w:sz w:val="32"/>
          <w:szCs w:val="32"/>
          <w:lang w:val="en-US" w:eastAsia="zh-CN"/>
        </w:rPr>
        <w:t>，一定程度影响后续</w:t>
      </w:r>
      <w:r>
        <w:rPr>
          <w:rFonts w:hint="eastAsia" w:ascii="方正仿宋_GB2312" w:hAnsi="方正仿宋_GB2312" w:eastAsia="方正仿宋_GB2312" w:cs="方正仿宋_GB2312"/>
          <w:sz w:val="32"/>
          <w:szCs w:val="32"/>
          <w:lang w:val="en-US" w:eastAsia="zh-CN"/>
        </w:rPr>
        <w:t>培训工作的完善</w:t>
      </w:r>
      <w:r>
        <w:rPr>
          <w:rFonts w:hint="default" w:ascii="方正仿宋_GB2312" w:hAnsi="方正仿宋_GB2312" w:eastAsia="方正仿宋_GB2312" w:cs="方正仿宋_GB2312"/>
          <w:sz w:val="32"/>
          <w:szCs w:val="32"/>
          <w:lang w:val="en-US" w:eastAsia="zh-CN"/>
        </w:rPr>
        <w:t>优化。满意度统计分析力度不够深入，对后续改进以更好满足</w:t>
      </w:r>
      <w:r>
        <w:rPr>
          <w:rFonts w:hint="eastAsia" w:ascii="方正仿宋_GB2312" w:hAnsi="方正仿宋_GB2312" w:eastAsia="方正仿宋_GB2312" w:cs="方正仿宋_GB2312"/>
          <w:sz w:val="32"/>
          <w:szCs w:val="32"/>
          <w:lang w:val="en-US" w:eastAsia="zh-CN"/>
        </w:rPr>
        <w:t>教师队伍建设需求</w:t>
      </w:r>
      <w:r>
        <w:rPr>
          <w:rFonts w:hint="default" w:ascii="方正仿宋_GB2312" w:hAnsi="方正仿宋_GB2312" w:eastAsia="方正仿宋_GB2312" w:cs="方正仿宋_GB2312"/>
          <w:sz w:val="32"/>
          <w:szCs w:val="32"/>
          <w:lang w:val="en-US" w:eastAsia="zh-CN"/>
        </w:rPr>
        <w:t>指导力度不足。</w:t>
      </w:r>
    </w:p>
    <w:p w14:paraId="2182A23A">
      <w:pPr>
        <w:spacing w:line="600" w:lineRule="exact"/>
        <w:ind w:firstLine="640" w:firstLineChars="200"/>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六、有关建议</w:t>
      </w:r>
    </w:p>
    <w:p w14:paraId="36776671">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（一）结合年度工作内容聚焦绩效目标，合理设置绩效指标</w:t>
      </w:r>
    </w:p>
    <w:p w14:paraId="3066DD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建议学校在明确项目资金投入拟实现的总体目标基础上，结合总体工作任务安排及各年度实际开展建设内容，有针对性设置年度绩效目标，充分体现本年度项目开展的工作任务、预期达到的阶段性效果。强化对各项目绩效指标设置的指导工作，指导项目负责人厘清质量、效益等各项绩效指标的含义和区别，根据年度拟开展工作内容，将年度绩效目标进一步细化、分解，合理、准确、全面设置绩效指标。 </w:t>
      </w:r>
    </w:p>
    <w:p w14:paraId="6607D3B3">
      <w:pPr>
        <w:spacing w:line="600" w:lineRule="exact"/>
        <w:ind w:firstLine="640" w:firstLineChars="200"/>
        <w:outlineLvl w:val="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（二）规范项目立项流程，完善教师队伍整体建设规划</w:t>
      </w:r>
    </w:p>
    <w:p w14:paraId="2CE469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建议学校加强项目立项前期的可研论证，在全面了解当前及后续阶段教</w:t>
      </w:r>
      <w:r>
        <w:rPr>
          <w:rFonts w:hint="default" w:ascii="方正仿宋_GB2312" w:hAnsi="方正仿宋_GB2312" w:eastAsia="方正仿宋_GB2312" w:cs="方正仿宋_GB2312"/>
          <w:sz w:val="32"/>
          <w:szCs w:val="32"/>
          <w:lang w:val="en-US" w:eastAsia="zh-CN"/>
        </w:rPr>
        <w:t>师队伍</w:t>
      </w:r>
      <w:r>
        <w:rPr>
          <w:rFonts w:hint="eastAsia" w:ascii="方正仿宋_GB2312" w:hAnsi="方正仿宋_GB2312" w:eastAsia="方正仿宋_GB2312" w:cs="方正仿宋_GB2312"/>
          <w:sz w:val="32"/>
          <w:szCs w:val="32"/>
          <w:lang w:val="en-US" w:eastAsia="zh-CN"/>
        </w:rPr>
        <w:t>建设需求，完善教</w:t>
      </w:r>
      <w:r>
        <w:rPr>
          <w:rFonts w:hint="default" w:ascii="方正仿宋_GB2312" w:hAnsi="方正仿宋_GB2312" w:eastAsia="方正仿宋_GB2312" w:cs="方正仿宋_GB2312"/>
          <w:sz w:val="32"/>
          <w:szCs w:val="32"/>
          <w:lang w:val="en-US" w:eastAsia="zh-CN"/>
        </w:rPr>
        <w:t>师队伍</w:t>
      </w:r>
      <w:r>
        <w:rPr>
          <w:rFonts w:hint="eastAsia" w:ascii="方正仿宋_GB2312" w:hAnsi="方正仿宋_GB2312" w:eastAsia="方正仿宋_GB2312" w:cs="方正仿宋_GB2312"/>
          <w:sz w:val="32"/>
          <w:szCs w:val="32"/>
          <w:lang w:val="en-US" w:eastAsia="zh-CN"/>
        </w:rPr>
        <w:t>建设中长期及分年度规划，明确后续建设规模及各年度任务分工、拟实现的功能，为项目实施提供有力指导。</w:t>
      </w:r>
    </w:p>
    <w:p w14:paraId="6C2B180B">
      <w:pPr>
        <w:spacing w:line="600" w:lineRule="exact"/>
        <w:ind w:firstLine="640" w:firstLineChars="200"/>
        <w:outlineLvl w:val="0"/>
        <w:rPr>
          <w:rFonts w:hint="eastAsia" w:ascii="Times New Roman" w:hAnsi="Times New Roman" w:eastAsia="楷体_GB2312" w:cs="楷体_GB2312"/>
          <w:sz w:val="32"/>
          <w:szCs w:val="32"/>
          <w:lang w:eastAsia="zh-CN"/>
        </w:rPr>
      </w:pPr>
      <w:bookmarkStart w:id="0" w:name="_Toc26754"/>
      <w:r>
        <w:rPr>
          <w:rFonts w:hint="eastAsia" w:ascii="Times New Roman" w:hAnsi="Times New Roman" w:eastAsia="楷体_GB2312" w:cs="楷体_GB2312"/>
          <w:sz w:val="32"/>
          <w:szCs w:val="32"/>
          <w:lang w:eastAsia="zh-CN"/>
        </w:rPr>
        <w:t>（三）充分分析效益数据，加强满意度调查</w:t>
      </w:r>
      <w:bookmarkEnd w:id="0"/>
    </w:p>
    <w:p w14:paraId="17A23E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有针对性地开展量化满意度调查，采用问卷、座谈、回访等线上线下相结合方式，全面收集教师、管理人员等受益对象对项目中涉及的实施成效等满意情况、反馈建议，作为后续推进教师队伍建设的参考方向，并持续跟踪项目中涉及的效果实现情况，加强对项目实施的典型案例、量化数据等的收集、归纳、分析，多年度效益数据比对，充分体现财政资金投入效果。</w:t>
      </w:r>
    </w:p>
    <w:p w14:paraId="49523801">
      <w:pPr>
        <w:spacing w:line="600" w:lineRule="exact"/>
        <w:ind w:firstLine="640" w:firstLineChars="200"/>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七、其他需要说明的问题</w:t>
      </w:r>
    </w:p>
    <w:p w14:paraId="4DC766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学校专业教师实践教学能力提升项目在上级主管部门的大力支持下，顺利完成了各项预定目标，取得了良好的成效。通过项目实施，教师的专业素养和实践教学能力得到了显著提升，为</w:t>
      </w:r>
      <w:r>
        <w:rPr>
          <w:rFonts w:hint="default" w:ascii="方正仿宋_GB2312" w:hAnsi="方正仿宋_GB2312" w:eastAsia="方正仿宋_GB2312" w:cs="方正仿宋_GB2312"/>
          <w:sz w:val="32"/>
          <w:szCs w:val="32"/>
          <w:lang w:val="en-US" w:eastAsia="zh-CN"/>
        </w:rPr>
        <w:t>医药</w:t>
      </w:r>
      <w:r>
        <w:rPr>
          <w:rFonts w:hint="eastAsia" w:ascii="方正仿宋_GB2312" w:hAnsi="方正仿宋_GB2312" w:eastAsia="方正仿宋_GB2312" w:cs="方正仿宋_GB2312"/>
          <w:sz w:val="32"/>
          <w:szCs w:val="32"/>
          <w:lang w:val="en-US" w:eastAsia="zh-CN"/>
        </w:rPr>
        <w:t>人才培养质量的提高提供了有力保障。在今后的工作中，学校将针对本次绩效评价中发现的问题，积极采取改进措施，进一步优化项目管理，加强与合作单位的协作，持续提升教师队伍的实践教学水平，推动学校</w:t>
      </w:r>
      <w:r>
        <w:rPr>
          <w:rFonts w:hint="default" w:ascii="方正仿宋_GB2312" w:hAnsi="方正仿宋_GB2312" w:eastAsia="方正仿宋_GB2312" w:cs="方正仿宋_GB2312"/>
          <w:sz w:val="32"/>
          <w:szCs w:val="32"/>
          <w:lang w:val="en-US" w:eastAsia="zh-CN"/>
        </w:rPr>
        <w:t>各</w:t>
      </w:r>
      <w:r>
        <w:rPr>
          <w:rFonts w:hint="eastAsia" w:ascii="方正仿宋_GB2312" w:hAnsi="方正仿宋_GB2312" w:eastAsia="方正仿宋_GB2312" w:cs="方正仿宋_GB2312"/>
          <w:sz w:val="32"/>
          <w:szCs w:val="32"/>
          <w:lang w:val="en-US" w:eastAsia="zh-CN"/>
        </w:rPr>
        <w:t>专业不断向更高水平发展，为医药事业的传承与创新培养更多优秀的专业人才。</w:t>
      </w:r>
    </w:p>
    <w:p w14:paraId="1B3919C6">
      <w:pPr>
        <w:bidi w:val="0"/>
        <w:rPr>
          <w:rFonts w:hint="eastAsia"/>
          <w:lang w:val="en-US" w:eastAsia="zh-CN"/>
        </w:rPr>
      </w:pPr>
    </w:p>
    <w:p w14:paraId="12311D5B">
      <w:pPr>
        <w:bidi w:val="0"/>
        <w:rPr>
          <w:rFonts w:hint="eastAsia"/>
          <w:lang w:val="en-US" w:eastAsia="zh-CN"/>
        </w:rPr>
      </w:pPr>
    </w:p>
    <w:p w14:paraId="3A37D8D6">
      <w:pPr>
        <w:bidi w:val="0"/>
        <w:rPr>
          <w:rFonts w:hint="eastAsia"/>
          <w:lang w:val="en-US" w:eastAsia="zh-CN"/>
        </w:rPr>
      </w:pPr>
    </w:p>
    <w:p w14:paraId="2DDD7670">
      <w:pPr>
        <w:bidi w:val="0"/>
        <w:rPr>
          <w:rFonts w:hint="eastAsia"/>
          <w:lang w:val="en-US" w:eastAsia="zh-CN"/>
        </w:rPr>
      </w:pPr>
    </w:p>
    <w:p w14:paraId="26CE36AA">
      <w:pPr>
        <w:bidi w:val="0"/>
        <w:rPr>
          <w:rFonts w:hint="eastAsia"/>
          <w:lang w:val="en-US" w:eastAsia="zh-CN"/>
        </w:rPr>
      </w:pPr>
    </w:p>
    <w:p w14:paraId="351E6B34">
      <w:pPr>
        <w:bidi w:val="0"/>
        <w:rPr>
          <w:rFonts w:hint="eastAsia"/>
          <w:lang w:val="en-US" w:eastAsia="zh-CN"/>
        </w:rPr>
      </w:pPr>
    </w:p>
    <w:p w14:paraId="1F388A46">
      <w:pPr>
        <w:bidi w:val="0"/>
        <w:rPr>
          <w:rFonts w:hint="eastAsia"/>
          <w:lang w:val="en-US" w:eastAsia="zh-CN"/>
        </w:rPr>
      </w:pPr>
    </w:p>
    <w:p w14:paraId="4AD20E07">
      <w:pPr>
        <w:bidi w:val="0"/>
        <w:rPr>
          <w:rFonts w:hint="eastAsia"/>
          <w:lang w:val="en-US" w:eastAsia="zh-CN"/>
        </w:rPr>
      </w:pPr>
    </w:p>
    <w:p w14:paraId="35668ED3">
      <w:pPr>
        <w:bidi w:val="0"/>
        <w:rPr>
          <w:rFonts w:hint="eastAsia"/>
          <w:lang w:val="en-US" w:eastAsia="zh-CN"/>
        </w:rPr>
      </w:pPr>
    </w:p>
    <w:p w14:paraId="525EF9C2">
      <w:pPr>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w:t>
      </w:r>
    </w:p>
    <w:p w14:paraId="4B87EE8A">
      <w:pPr>
        <w:spacing w:line="480" w:lineRule="exact"/>
        <w:jc w:val="center"/>
        <w:rPr>
          <w:rFonts w:ascii="Times New Roman" w:hAnsi="Times New Roman" w:eastAsia="方正小标宋简体"/>
          <w:sz w:val="36"/>
          <w:szCs w:val="36"/>
        </w:rPr>
      </w:pPr>
      <w:r>
        <w:rPr>
          <w:rFonts w:hint="eastAsia" w:ascii="Times New Roman" w:hAnsi="Times New Roman" w:eastAsia="方正小标宋简体"/>
          <w:sz w:val="36"/>
          <w:szCs w:val="36"/>
        </w:rPr>
        <w:t>项目支出绩效自评表</w:t>
      </w:r>
    </w:p>
    <w:p w14:paraId="2795D29B">
      <w:pPr>
        <w:spacing w:line="480" w:lineRule="exact"/>
        <w:jc w:val="center"/>
        <w:rPr>
          <w:rFonts w:hint="eastAsia" w:ascii="Times New Roman" w:hAnsi="Times New Roman" w:eastAsia="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rPr>
        <w:t>202</w:t>
      </w:r>
      <w:r>
        <w:rPr>
          <w:rFonts w:hint="eastAsia" w:ascii="仿宋" w:hAnsi="仿宋" w:eastAsia="仿宋" w:cs="仿宋"/>
          <w:sz w:val="28"/>
          <w:szCs w:val="28"/>
          <w:lang w:eastAsia="zh-CN"/>
        </w:rPr>
        <w:t>4</w:t>
      </w:r>
      <w:r>
        <w:rPr>
          <w:rFonts w:hint="eastAsia" w:ascii="仿宋" w:hAnsi="仿宋" w:eastAsia="仿宋" w:cs="仿宋"/>
          <w:sz w:val="28"/>
          <w:szCs w:val="28"/>
        </w:rPr>
        <w:t>年度</w:t>
      </w:r>
      <w:r>
        <w:rPr>
          <w:rFonts w:hint="eastAsia" w:ascii="仿宋" w:hAnsi="仿宋" w:eastAsia="仿宋" w:cs="仿宋"/>
          <w:sz w:val="28"/>
          <w:szCs w:val="28"/>
          <w:lang w:eastAsia="zh-CN"/>
        </w:rPr>
        <w:t>）</w:t>
      </w:r>
    </w:p>
    <w:p w14:paraId="6EFF4878">
      <w:pPr>
        <w:spacing w:line="240" w:lineRule="exact"/>
        <w:rPr>
          <w:rFonts w:ascii="Times New Roman" w:hAnsi="Times New Roman" w:eastAsia="仿宋_GB2312"/>
          <w:sz w:val="30"/>
          <w:szCs w:val="30"/>
        </w:rPr>
      </w:pPr>
    </w:p>
    <w:tbl>
      <w:tblPr>
        <w:tblStyle w:val="7"/>
        <w:tblW w:w="10048" w:type="dxa"/>
        <w:jc w:val="center"/>
        <w:tblLayout w:type="fixed"/>
        <w:tblCellMar>
          <w:top w:w="0" w:type="dxa"/>
          <w:left w:w="108" w:type="dxa"/>
          <w:bottom w:w="0" w:type="dxa"/>
          <w:right w:w="108" w:type="dxa"/>
        </w:tblCellMar>
      </w:tblPr>
      <w:tblGrid>
        <w:gridCol w:w="1046"/>
        <w:gridCol w:w="316"/>
        <w:gridCol w:w="374"/>
        <w:gridCol w:w="750"/>
        <w:gridCol w:w="369"/>
        <w:gridCol w:w="1215"/>
        <w:gridCol w:w="285"/>
        <w:gridCol w:w="930"/>
        <w:gridCol w:w="540"/>
        <w:gridCol w:w="990"/>
        <w:gridCol w:w="255"/>
        <w:gridCol w:w="870"/>
        <w:gridCol w:w="30"/>
        <w:gridCol w:w="825"/>
        <w:gridCol w:w="321"/>
        <w:gridCol w:w="932"/>
      </w:tblGrid>
      <w:tr w14:paraId="2AE52831">
        <w:tblPrEx>
          <w:tblCellMar>
            <w:top w:w="0" w:type="dxa"/>
            <w:left w:w="108" w:type="dxa"/>
            <w:bottom w:w="0" w:type="dxa"/>
            <w:right w:w="108" w:type="dxa"/>
          </w:tblCellMar>
        </w:tblPrEx>
        <w:trPr>
          <w:trHeight w:val="78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14:paraId="684C0C9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项目名称</w:t>
            </w:r>
          </w:p>
        </w:tc>
        <w:tc>
          <w:tcPr>
            <w:tcW w:w="8686" w:type="dxa"/>
            <w:gridSpan w:val="14"/>
            <w:tcBorders>
              <w:top w:val="single" w:color="auto" w:sz="4" w:space="0"/>
              <w:left w:val="nil"/>
              <w:bottom w:val="single" w:color="auto" w:sz="4" w:space="0"/>
              <w:right w:val="single" w:color="auto" w:sz="4" w:space="0"/>
            </w:tcBorders>
            <w:noWrap w:val="0"/>
            <w:vAlign w:val="center"/>
          </w:tcPr>
          <w:p w14:paraId="7E11A06B">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专业教师实践教学能力提升</w:t>
            </w:r>
          </w:p>
        </w:tc>
      </w:tr>
      <w:tr w14:paraId="1704FFC9">
        <w:tblPrEx>
          <w:tblCellMar>
            <w:top w:w="0" w:type="dxa"/>
            <w:left w:w="108" w:type="dxa"/>
            <w:bottom w:w="0" w:type="dxa"/>
            <w:right w:w="108" w:type="dxa"/>
          </w:tblCellMar>
        </w:tblPrEx>
        <w:trPr>
          <w:trHeight w:val="931"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14:paraId="13AB9EF6">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主管部门</w:t>
            </w:r>
          </w:p>
        </w:tc>
        <w:tc>
          <w:tcPr>
            <w:tcW w:w="3923" w:type="dxa"/>
            <w:gridSpan w:val="6"/>
            <w:tcBorders>
              <w:top w:val="single" w:color="auto" w:sz="4" w:space="0"/>
              <w:left w:val="nil"/>
              <w:bottom w:val="single" w:color="auto" w:sz="4" w:space="0"/>
              <w:right w:val="single" w:color="auto" w:sz="4" w:space="0"/>
            </w:tcBorders>
            <w:noWrap w:val="0"/>
            <w:vAlign w:val="center"/>
          </w:tcPr>
          <w:p w14:paraId="7D436650">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中国北京同仁堂（集团）有限责任公司</w:t>
            </w:r>
          </w:p>
        </w:tc>
        <w:tc>
          <w:tcPr>
            <w:tcW w:w="1530" w:type="dxa"/>
            <w:gridSpan w:val="2"/>
            <w:tcBorders>
              <w:top w:val="nil"/>
              <w:left w:val="nil"/>
              <w:bottom w:val="single" w:color="auto" w:sz="4" w:space="0"/>
              <w:right w:val="single" w:color="auto" w:sz="4" w:space="0"/>
            </w:tcBorders>
            <w:noWrap w:val="0"/>
            <w:vAlign w:val="center"/>
          </w:tcPr>
          <w:p w14:paraId="460BB1B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实施单位</w:t>
            </w:r>
          </w:p>
        </w:tc>
        <w:tc>
          <w:tcPr>
            <w:tcW w:w="3233" w:type="dxa"/>
            <w:gridSpan w:val="6"/>
            <w:tcBorders>
              <w:top w:val="single" w:color="auto" w:sz="4" w:space="0"/>
              <w:left w:val="nil"/>
              <w:bottom w:val="single" w:color="auto" w:sz="4" w:space="0"/>
              <w:right w:val="single" w:color="auto" w:sz="4" w:space="0"/>
            </w:tcBorders>
            <w:noWrap w:val="0"/>
            <w:vAlign w:val="center"/>
          </w:tcPr>
          <w:p w14:paraId="1E9EAAA5">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 xml:space="preserve">北京医药职工大学（中国北京同仁堂（集团）有限责任公司党校）  </w:t>
            </w:r>
          </w:p>
        </w:tc>
      </w:tr>
      <w:tr w14:paraId="1D810C3E">
        <w:tblPrEx>
          <w:tblCellMar>
            <w:top w:w="0" w:type="dxa"/>
            <w:left w:w="108" w:type="dxa"/>
            <w:bottom w:w="0" w:type="dxa"/>
            <w:right w:w="108" w:type="dxa"/>
          </w:tblCellMar>
        </w:tblPrEx>
        <w:trPr>
          <w:trHeight w:val="709" w:hRule="atLeast"/>
          <w:jc w:val="center"/>
        </w:trPr>
        <w:tc>
          <w:tcPr>
            <w:tcW w:w="136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0119E46">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项目资金</w:t>
            </w:r>
          </w:p>
          <w:p w14:paraId="261A98B8">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（万元）</w:t>
            </w:r>
          </w:p>
        </w:tc>
        <w:tc>
          <w:tcPr>
            <w:tcW w:w="1493" w:type="dxa"/>
            <w:gridSpan w:val="3"/>
            <w:tcBorders>
              <w:top w:val="single" w:color="auto" w:sz="4" w:space="0"/>
              <w:left w:val="nil"/>
              <w:bottom w:val="single" w:color="auto" w:sz="4" w:space="0"/>
              <w:right w:val="single" w:color="auto" w:sz="4" w:space="0"/>
            </w:tcBorders>
            <w:noWrap w:val="0"/>
            <w:vAlign w:val="center"/>
          </w:tcPr>
          <w:p w14:paraId="4344A98A">
            <w:pPr>
              <w:widowControl/>
              <w:spacing w:line="240" w:lineRule="exact"/>
              <w:jc w:val="center"/>
              <w:rPr>
                <w:rFonts w:hint="eastAsia" w:ascii="仿宋" w:hAnsi="仿宋" w:eastAsia="仿宋" w:cs="仿宋"/>
                <w:kern w:val="0"/>
                <w:szCs w:val="21"/>
              </w:rPr>
            </w:pPr>
          </w:p>
        </w:tc>
        <w:tc>
          <w:tcPr>
            <w:tcW w:w="1215" w:type="dxa"/>
            <w:tcBorders>
              <w:top w:val="nil"/>
              <w:left w:val="nil"/>
              <w:bottom w:val="single" w:color="auto" w:sz="4" w:space="0"/>
              <w:right w:val="single" w:color="auto" w:sz="4" w:space="0"/>
            </w:tcBorders>
            <w:noWrap w:val="0"/>
            <w:vAlign w:val="center"/>
          </w:tcPr>
          <w:p w14:paraId="2C18ECAD">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年初</w:t>
            </w:r>
          </w:p>
          <w:p w14:paraId="5DE76C42">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预算数</w:t>
            </w:r>
          </w:p>
        </w:tc>
        <w:tc>
          <w:tcPr>
            <w:tcW w:w="1215" w:type="dxa"/>
            <w:gridSpan w:val="2"/>
            <w:tcBorders>
              <w:top w:val="nil"/>
              <w:left w:val="nil"/>
              <w:bottom w:val="single" w:color="auto" w:sz="4" w:space="0"/>
              <w:right w:val="single" w:color="auto" w:sz="4" w:space="0"/>
            </w:tcBorders>
            <w:noWrap w:val="0"/>
            <w:vAlign w:val="center"/>
          </w:tcPr>
          <w:p w14:paraId="72F3F5AD">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全年</w:t>
            </w:r>
          </w:p>
          <w:p w14:paraId="0CC8853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预算数</w:t>
            </w:r>
          </w:p>
        </w:tc>
        <w:tc>
          <w:tcPr>
            <w:tcW w:w="1530" w:type="dxa"/>
            <w:gridSpan w:val="2"/>
            <w:tcBorders>
              <w:top w:val="nil"/>
              <w:left w:val="nil"/>
              <w:bottom w:val="single" w:color="auto" w:sz="4" w:space="0"/>
              <w:right w:val="single" w:color="auto" w:sz="4" w:space="0"/>
            </w:tcBorders>
            <w:noWrap w:val="0"/>
            <w:vAlign w:val="center"/>
          </w:tcPr>
          <w:p w14:paraId="1A775DB5">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全年</w:t>
            </w:r>
          </w:p>
          <w:p w14:paraId="0454FAA0">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执行数</w:t>
            </w:r>
          </w:p>
        </w:tc>
        <w:tc>
          <w:tcPr>
            <w:tcW w:w="1155" w:type="dxa"/>
            <w:gridSpan w:val="3"/>
            <w:tcBorders>
              <w:top w:val="nil"/>
              <w:left w:val="nil"/>
              <w:bottom w:val="single" w:color="auto" w:sz="4" w:space="0"/>
              <w:right w:val="single" w:color="auto" w:sz="4" w:space="0"/>
            </w:tcBorders>
            <w:noWrap w:val="0"/>
            <w:vAlign w:val="center"/>
          </w:tcPr>
          <w:p w14:paraId="137B7F6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分值</w:t>
            </w:r>
          </w:p>
        </w:tc>
        <w:tc>
          <w:tcPr>
            <w:tcW w:w="1146" w:type="dxa"/>
            <w:gridSpan w:val="2"/>
            <w:tcBorders>
              <w:top w:val="single" w:color="auto" w:sz="4" w:space="0"/>
              <w:left w:val="nil"/>
              <w:bottom w:val="single" w:color="auto" w:sz="4" w:space="0"/>
              <w:right w:val="single" w:color="auto" w:sz="4" w:space="0"/>
            </w:tcBorders>
            <w:noWrap w:val="0"/>
            <w:vAlign w:val="center"/>
          </w:tcPr>
          <w:p w14:paraId="49D2966A">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执行率</w:t>
            </w:r>
          </w:p>
        </w:tc>
        <w:tc>
          <w:tcPr>
            <w:tcW w:w="932" w:type="dxa"/>
            <w:tcBorders>
              <w:top w:val="nil"/>
              <w:left w:val="nil"/>
              <w:bottom w:val="single" w:color="auto" w:sz="4" w:space="0"/>
              <w:right w:val="single" w:color="auto" w:sz="4" w:space="0"/>
            </w:tcBorders>
            <w:noWrap w:val="0"/>
            <w:vAlign w:val="center"/>
          </w:tcPr>
          <w:p w14:paraId="28EC7E8D">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得分</w:t>
            </w:r>
          </w:p>
        </w:tc>
      </w:tr>
      <w:tr w14:paraId="4B163D1E">
        <w:tblPrEx>
          <w:tblCellMar>
            <w:top w:w="0" w:type="dxa"/>
            <w:left w:w="108" w:type="dxa"/>
            <w:bottom w:w="0" w:type="dxa"/>
            <w:right w:w="108" w:type="dxa"/>
          </w:tblCellMar>
        </w:tblPrEx>
        <w:trPr>
          <w:trHeight w:val="709" w:hRule="atLeas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DAA26E0">
            <w:pPr>
              <w:widowControl/>
              <w:spacing w:line="240" w:lineRule="exact"/>
              <w:jc w:val="center"/>
              <w:rPr>
                <w:rFonts w:hint="eastAsia" w:ascii="仿宋" w:hAnsi="仿宋" w:eastAsia="仿宋" w:cs="仿宋"/>
                <w:kern w:val="0"/>
                <w:szCs w:val="21"/>
              </w:rPr>
            </w:pPr>
          </w:p>
        </w:tc>
        <w:tc>
          <w:tcPr>
            <w:tcW w:w="1493" w:type="dxa"/>
            <w:gridSpan w:val="3"/>
            <w:tcBorders>
              <w:top w:val="single" w:color="auto" w:sz="4" w:space="0"/>
              <w:left w:val="nil"/>
              <w:bottom w:val="single" w:color="auto" w:sz="4" w:space="0"/>
              <w:right w:val="single" w:color="auto" w:sz="4" w:space="0"/>
            </w:tcBorders>
            <w:noWrap w:val="0"/>
            <w:vAlign w:val="center"/>
          </w:tcPr>
          <w:p w14:paraId="60F3C93F">
            <w:pPr>
              <w:widowControl/>
              <w:spacing w:line="240" w:lineRule="exact"/>
              <w:rPr>
                <w:rFonts w:hint="eastAsia" w:ascii="仿宋" w:hAnsi="仿宋" w:eastAsia="仿宋" w:cs="仿宋"/>
                <w:kern w:val="0"/>
                <w:szCs w:val="21"/>
              </w:rPr>
            </w:pPr>
            <w:r>
              <w:rPr>
                <w:rFonts w:hint="eastAsia" w:ascii="仿宋" w:hAnsi="仿宋" w:eastAsia="仿宋" w:cs="仿宋"/>
                <w:kern w:val="0"/>
                <w:szCs w:val="21"/>
              </w:rPr>
              <w:t>年度资金总额</w:t>
            </w:r>
          </w:p>
        </w:tc>
        <w:tc>
          <w:tcPr>
            <w:tcW w:w="1215" w:type="dxa"/>
            <w:tcBorders>
              <w:top w:val="nil"/>
              <w:left w:val="nil"/>
              <w:bottom w:val="single" w:color="auto" w:sz="4" w:space="0"/>
              <w:right w:val="single" w:color="auto" w:sz="4" w:space="0"/>
            </w:tcBorders>
            <w:noWrap w:val="0"/>
            <w:vAlign w:val="center"/>
          </w:tcPr>
          <w:p w14:paraId="5AB5F3E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21.810200</w:t>
            </w:r>
          </w:p>
        </w:tc>
        <w:tc>
          <w:tcPr>
            <w:tcW w:w="1215" w:type="dxa"/>
            <w:gridSpan w:val="2"/>
            <w:tcBorders>
              <w:top w:val="nil"/>
              <w:left w:val="nil"/>
              <w:bottom w:val="single" w:color="auto" w:sz="4" w:space="0"/>
              <w:right w:val="single" w:color="auto" w:sz="4" w:space="0"/>
            </w:tcBorders>
            <w:noWrap w:val="0"/>
            <w:vAlign w:val="center"/>
          </w:tcPr>
          <w:p w14:paraId="75CBFD27">
            <w:pPr>
              <w:widowControl/>
              <w:spacing w:line="240" w:lineRule="exact"/>
              <w:jc w:val="both"/>
              <w:rPr>
                <w:rFonts w:hint="eastAsia" w:ascii="仿宋" w:hAnsi="仿宋" w:eastAsia="仿宋" w:cs="仿宋"/>
                <w:kern w:val="0"/>
                <w:szCs w:val="21"/>
                <w:highlight w:val="none"/>
              </w:rPr>
            </w:pPr>
            <w:r>
              <w:rPr>
                <w:rFonts w:hint="eastAsia" w:ascii="仿宋" w:hAnsi="仿宋" w:eastAsia="仿宋" w:cs="仿宋"/>
                <w:kern w:val="0"/>
                <w:szCs w:val="21"/>
                <w:highlight w:val="none"/>
                <w:lang w:eastAsia="zh-CN"/>
              </w:rPr>
              <w:t>2</w:t>
            </w:r>
            <w:r>
              <w:rPr>
                <w:rFonts w:hint="eastAsia" w:ascii="仿宋" w:hAnsi="仿宋" w:eastAsia="仿宋" w:cs="仿宋"/>
                <w:kern w:val="0"/>
                <w:szCs w:val="21"/>
                <w:highlight w:val="none"/>
                <w:lang w:val="en-US" w:eastAsia="zh-CN"/>
              </w:rPr>
              <w:t>0.059500</w:t>
            </w:r>
          </w:p>
        </w:tc>
        <w:tc>
          <w:tcPr>
            <w:tcW w:w="1530" w:type="dxa"/>
            <w:gridSpan w:val="2"/>
            <w:tcBorders>
              <w:top w:val="nil"/>
              <w:left w:val="nil"/>
              <w:bottom w:val="single" w:color="auto" w:sz="4" w:space="0"/>
              <w:right w:val="single" w:color="auto" w:sz="4" w:space="0"/>
            </w:tcBorders>
            <w:noWrap w:val="0"/>
            <w:vAlign w:val="center"/>
          </w:tcPr>
          <w:p w14:paraId="23D3AD1F">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lang w:eastAsia="zh-CN"/>
              </w:rPr>
              <w:t>2</w:t>
            </w:r>
            <w:r>
              <w:rPr>
                <w:rFonts w:hint="eastAsia" w:ascii="仿宋" w:hAnsi="仿宋" w:eastAsia="仿宋" w:cs="仿宋"/>
                <w:kern w:val="0"/>
                <w:szCs w:val="21"/>
                <w:highlight w:val="none"/>
                <w:lang w:val="en-US" w:eastAsia="zh-CN"/>
              </w:rPr>
              <w:t>0.039500</w:t>
            </w:r>
          </w:p>
        </w:tc>
        <w:tc>
          <w:tcPr>
            <w:tcW w:w="1155" w:type="dxa"/>
            <w:gridSpan w:val="3"/>
            <w:tcBorders>
              <w:top w:val="nil"/>
              <w:left w:val="nil"/>
              <w:bottom w:val="single" w:color="auto" w:sz="4" w:space="0"/>
              <w:right w:val="single" w:color="auto" w:sz="4" w:space="0"/>
            </w:tcBorders>
            <w:noWrap w:val="0"/>
            <w:vAlign w:val="center"/>
          </w:tcPr>
          <w:p w14:paraId="4FA0C386">
            <w:pPr>
              <w:widowControl/>
              <w:spacing w:line="240" w:lineRule="exact"/>
              <w:jc w:val="center"/>
              <w:rPr>
                <w:rFonts w:hint="eastAsia" w:ascii="仿宋" w:hAnsi="仿宋" w:eastAsia="仿宋" w:cs="仿宋"/>
                <w:color w:val="auto"/>
                <w:kern w:val="0"/>
                <w:szCs w:val="21"/>
              </w:rPr>
            </w:pPr>
            <w:r>
              <w:rPr>
                <w:rFonts w:hint="eastAsia" w:ascii="仿宋" w:hAnsi="仿宋" w:eastAsia="仿宋" w:cs="仿宋"/>
                <w:color w:val="auto"/>
                <w:kern w:val="0"/>
                <w:szCs w:val="21"/>
              </w:rPr>
              <w:t>10</w:t>
            </w:r>
          </w:p>
        </w:tc>
        <w:tc>
          <w:tcPr>
            <w:tcW w:w="1146" w:type="dxa"/>
            <w:gridSpan w:val="2"/>
            <w:tcBorders>
              <w:top w:val="single" w:color="auto" w:sz="4" w:space="0"/>
              <w:left w:val="nil"/>
              <w:bottom w:val="single" w:color="auto" w:sz="4" w:space="0"/>
              <w:right w:val="single" w:color="auto" w:sz="4" w:space="0"/>
            </w:tcBorders>
            <w:noWrap w:val="0"/>
            <w:vAlign w:val="center"/>
          </w:tcPr>
          <w:p w14:paraId="46758556">
            <w:pPr>
              <w:widowControl/>
              <w:spacing w:line="240" w:lineRule="exact"/>
              <w:jc w:val="center"/>
              <w:rPr>
                <w:rFonts w:hint="eastAsia" w:ascii="仿宋" w:hAnsi="仿宋" w:eastAsia="仿宋" w:cs="仿宋"/>
                <w:color w:val="auto"/>
                <w:kern w:val="0"/>
                <w:szCs w:val="21"/>
              </w:rPr>
            </w:pPr>
            <w:r>
              <w:rPr>
                <w:rFonts w:hint="eastAsia" w:ascii="仿宋" w:hAnsi="仿宋" w:eastAsia="仿宋" w:cs="仿宋"/>
                <w:color w:val="auto"/>
                <w:kern w:val="0"/>
                <w:szCs w:val="21"/>
                <w:lang w:val="en-US" w:eastAsia="zh-CN"/>
              </w:rPr>
              <w:t>99.90</w:t>
            </w:r>
            <w:r>
              <w:rPr>
                <w:rFonts w:hint="eastAsia" w:ascii="仿宋" w:hAnsi="仿宋" w:eastAsia="仿宋" w:cs="仿宋"/>
                <w:color w:val="auto"/>
                <w:kern w:val="0"/>
                <w:szCs w:val="21"/>
              </w:rPr>
              <w:t>%</w:t>
            </w:r>
          </w:p>
        </w:tc>
        <w:tc>
          <w:tcPr>
            <w:tcW w:w="932" w:type="dxa"/>
            <w:tcBorders>
              <w:top w:val="nil"/>
              <w:left w:val="nil"/>
              <w:bottom w:val="single" w:color="auto" w:sz="4" w:space="0"/>
              <w:right w:val="single" w:color="auto" w:sz="4" w:space="0"/>
            </w:tcBorders>
            <w:noWrap w:val="0"/>
            <w:vAlign w:val="center"/>
          </w:tcPr>
          <w:p w14:paraId="72F4B4EA">
            <w:pPr>
              <w:widowControl/>
              <w:spacing w:line="240" w:lineRule="exact"/>
              <w:jc w:val="cente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9.99</w:t>
            </w:r>
          </w:p>
        </w:tc>
      </w:tr>
      <w:tr w14:paraId="274C78C7">
        <w:tblPrEx>
          <w:tblCellMar>
            <w:top w:w="0" w:type="dxa"/>
            <w:left w:w="108" w:type="dxa"/>
            <w:bottom w:w="0" w:type="dxa"/>
            <w:right w:w="108" w:type="dxa"/>
          </w:tblCellMar>
        </w:tblPrEx>
        <w:trPr>
          <w:trHeight w:val="709" w:hRule="atLeas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8A5BA0">
            <w:pPr>
              <w:widowControl/>
              <w:spacing w:line="240" w:lineRule="exact"/>
              <w:jc w:val="center"/>
              <w:rPr>
                <w:rFonts w:hint="eastAsia" w:ascii="仿宋" w:hAnsi="仿宋" w:eastAsia="仿宋" w:cs="仿宋"/>
                <w:kern w:val="0"/>
                <w:szCs w:val="21"/>
              </w:rPr>
            </w:pPr>
          </w:p>
        </w:tc>
        <w:tc>
          <w:tcPr>
            <w:tcW w:w="1493" w:type="dxa"/>
            <w:gridSpan w:val="3"/>
            <w:tcBorders>
              <w:top w:val="single" w:color="auto" w:sz="4" w:space="0"/>
              <w:left w:val="nil"/>
              <w:bottom w:val="single" w:color="auto" w:sz="4" w:space="0"/>
              <w:right w:val="single" w:color="auto" w:sz="4" w:space="0"/>
            </w:tcBorders>
            <w:noWrap w:val="0"/>
            <w:vAlign w:val="center"/>
          </w:tcPr>
          <w:p w14:paraId="639F01F1">
            <w:pPr>
              <w:widowControl/>
              <w:spacing w:line="240" w:lineRule="exact"/>
              <w:jc w:val="left"/>
              <w:rPr>
                <w:rFonts w:hint="eastAsia" w:ascii="仿宋" w:hAnsi="仿宋" w:eastAsia="仿宋" w:cs="仿宋"/>
                <w:kern w:val="0"/>
                <w:szCs w:val="21"/>
              </w:rPr>
            </w:pPr>
            <w:r>
              <w:rPr>
                <w:rFonts w:hint="eastAsia" w:ascii="仿宋" w:hAnsi="仿宋" w:eastAsia="仿宋" w:cs="仿宋"/>
                <w:kern w:val="0"/>
                <w:szCs w:val="21"/>
              </w:rPr>
              <w:t>其中：</w:t>
            </w:r>
          </w:p>
          <w:p w14:paraId="54700E76">
            <w:pPr>
              <w:widowControl/>
              <w:spacing w:line="240" w:lineRule="exact"/>
              <w:jc w:val="left"/>
              <w:rPr>
                <w:rFonts w:hint="eastAsia" w:ascii="仿宋" w:hAnsi="仿宋" w:eastAsia="仿宋" w:cs="仿宋"/>
                <w:kern w:val="0"/>
                <w:szCs w:val="21"/>
              </w:rPr>
            </w:pPr>
            <w:r>
              <w:rPr>
                <w:rFonts w:hint="eastAsia" w:ascii="仿宋" w:hAnsi="仿宋" w:eastAsia="仿宋" w:cs="仿宋"/>
                <w:kern w:val="0"/>
                <w:szCs w:val="21"/>
              </w:rPr>
              <w:t>当年财政拨款</w:t>
            </w:r>
          </w:p>
        </w:tc>
        <w:tc>
          <w:tcPr>
            <w:tcW w:w="1215" w:type="dxa"/>
            <w:tcBorders>
              <w:top w:val="nil"/>
              <w:left w:val="nil"/>
              <w:bottom w:val="single" w:color="auto" w:sz="4" w:space="0"/>
              <w:right w:val="single" w:color="auto" w:sz="4" w:space="0"/>
            </w:tcBorders>
            <w:noWrap w:val="0"/>
            <w:vAlign w:val="center"/>
          </w:tcPr>
          <w:p w14:paraId="26CA1DA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21.810200</w:t>
            </w:r>
          </w:p>
        </w:tc>
        <w:tc>
          <w:tcPr>
            <w:tcW w:w="1215" w:type="dxa"/>
            <w:gridSpan w:val="2"/>
            <w:tcBorders>
              <w:top w:val="nil"/>
              <w:left w:val="nil"/>
              <w:bottom w:val="single" w:color="auto" w:sz="4" w:space="0"/>
              <w:right w:val="single" w:color="auto" w:sz="4" w:space="0"/>
            </w:tcBorders>
            <w:noWrap w:val="0"/>
            <w:vAlign w:val="center"/>
          </w:tcPr>
          <w:p w14:paraId="5D386A5D">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lang w:eastAsia="zh-CN"/>
              </w:rPr>
              <w:t>2</w:t>
            </w:r>
            <w:r>
              <w:rPr>
                <w:rFonts w:hint="eastAsia" w:ascii="仿宋" w:hAnsi="仿宋" w:eastAsia="仿宋" w:cs="仿宋"/>
                <w:kern w:val="0"/>
                <w:szCs w:val="21"/>
                <w:highlight w:val="none"/>
                <w:lang w:val="en-US" w:eastAsia="zh-CN"/>
              </w:rPr>
              <w:t>0.059500</w:t>
            </w:r>
          </w:p>
        </w:tc>
        <w:tc>
          <w:tcPr>
            <w:tcW w:w="1530" w:type="dxa"/>
            <w:gridSpan w:val="2"/>
            <w:tcBorders>
              <w:top w:val="nil"/>
              <w:left w:val="nil"/>
              <w:bottom w:val="single" w:color="auto" w:sz="4" w:space="0"/>
              <w:right w:val="single" w:color="auto" w:sz="4" w:space="0"/>
            </w:tcBorders>
            <w:noWrap w:val="0"/>
            <w:vAlign w:val="center"/>
          </w:tcPr>
          <w:p w14:paraId="1165A066">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lang w:val="en-US" w:eastAsia="zh-CN"/>
              </w:rPr>
              <w:t>20.039500</w:t>
            </w:r>
          </w:p>
        </w:tc>
        <w:tc>
          <w:tcPr>
            <w:tcW w:w="1155" w:type="dxa"/>
            <w:gridSpan w:val="3"/>
            <w:tcBorders>
              <w:top w:val="nil"/>
              <w:left w:val="nil"/>
              <w:bottom w:val="single" w:color="auto" w:sz="4" w:space="0"/>
              <w:right w:val="single" w:color="auto" w:sz="4" w:space="0"/>
            </w:tcBorders>
            <w:noWrap w:val="0"/>
            <w:vAlign w:val="center"/>
          </w:tcPr>
          <w:p w14:paraId="52B507C8">
            <w:pPr>
              <w:widowControl/>
              <w:spacing w:line="240" w:lineRule="exact"/>
              <w:jc w:val="center"/>
              <w:rPr>
                <w:rFonts w:hint="eastAsia" w:ascii="仿宋" w:hAnsi="仿宋" w:eastAsia="仿宋" w:cs="仿宋"/>
                <w:color w:val="auto"/>
                <w:kern w:val="0"/>
                <w:szCs w:val="21"/>
              </w:rPr>
            </w:pPr>
            <w:r>
              <w:rPr>
                <w:rFonts w:hint="eastAsia" w:ascii="仿宋" w:hAnsi="仿宋" w:eastAsia="仿宋" w:cs="仿宋"/>
                <w:kern w:val="0"/>
                <w:szCs w:val="21"/>
                <w:lang w:val="en-US" w:eastAsia="zh-CN"/>
              </w:rPr>
              <w:t>10</w:t>
            </w:r>
          </w:p>
        </w:tc>
        <w:tc>
          <w:tcPr>
            <w:tcW w:w="1146" w:type="dxa"/>
            <w:gridSpan w:val="2"/>
            <w:tcBorders>
              <w:top w:val="single" w:color="auto" w:sz="4" w:space="0"/>
              <w:left w:val="nil"/>
              <w:bottom w:val="single" w:color="auto" w:sz="4" w:space="0"/>
              <w:right w:val="single" w:color="auto" w:sz="4" w:space="0"/>
            </w:tcBorders>
            <w:noWrap w:val="0"/>
            <w:vAlign w:val="center"/>
          </w:tcPr>
          <w:p w14:paraId="2013AC13">
            <w:pPr>
              <w:widowControl/>
              <w:spacing w:line="240" w:lineRule="exact"/>
              <w:jc w:val="center"/>
              <w:rPr>
                <w:rFonts w:hint="eastAsia" w:ascii="仿宋" w:hAnsi="仿宋" w:eastAsia="仿宋" w:cs="仿宋"/>
                <w:color w:val="auto"/>
                <w:kern w:val="0"/>
                <w:szCs w:val="21"/>
              </w:rPr>
            </w:pPr>
            <w:r>
              <w:rPr>
                <w:rFonts w:hint="eastAsia" w:ascii="仿宋" w:hAnsi="仿宋" w:eastAsia="仿宋" w:cs="仿宋"/>
                <w:color w:val="auto"/>
                <w:kern w:val="0"/>
                <w:szCs w:val="21"/>
                <w:lang w:val="en-US" w:eastAsia="zh-CN"/>
              </w:rPr>
              <w:t>99.90</w:t>
            </w:r>
            <w:r>
              <w:rPr>
                <w:rFonts w:hint="eastAsia" w:ascii="仿宋" w:hAnsi="仿宋" w:eastAsia="仿宋" w:cs="仿宋"/>
                <w:color w:val="auto"/>
                <w:kern w:val="0"/>
                <w:szCs w:val="21"/>
              </w:rPr>
              <w:t>%</w:t>
            </w:r>
          </w:p>
        </w:tc>
        <w:tc>
          <w:tcPr>
            <w:tcW w:w="932" w:type="dxa"/>
            <w:tcBorders>
              <w:top w:val="nil"/>
              <w:left w:val="nil"/>
              <w:bottom w:val="single" w:color="auto" w:sz="4" w:space="0"/>
              <w:right w:val="single" w:color="auto" w:sz="4" w:space="0"/>
            </w:tcBorders>
            <w:noWrap w:val="0"/>
            <w:vAlign w:val="center"/>
          </w:tcPr>
          <w:p w14:paraId="25DE02BE">
            <w:pPr>
              <w:widowControl/>
              <w:spacing w:line="240" w:lineRule="exact"/>
              <w:jc w:val="center"/>
              <w:rPr>
                <w:rFonts w:hint="eastAsia" w:ascii="仿宋" w:hAnsi="仿宋" w:eastAsia="仿宋" w:cs="仿宋"/>
                <w:color w:val="auto"/>
                <w:kern w:val="0"/>
                <w:szCs w:val="21"/>
                <w:lang w:val="en-US" w:eastAsia="zh-CN"/>
              </w:rPr>
            </w:pPr>
            <w:r>
              <w:rPr>
                <w:rFonts w:hint="eastAsia" w:ascii="仿宋" w:hAnsi="仿宋" w:eastAsia="仿宋" w:cs="仿宋"/>
                <w:kern w:val="0"/>
                <w:szCs w:val="21"/>
                <w:lang w:val="en-US" w:eastAsia="zh-CN"/>
              </w:rPr>
              <w:t>9.99</w:t>
            </w:r>
          </w:p>
        </w:tc>
      </w:tr>
      <w:tr w14:paraId="279729DC">
        <w:tblPrEx>
          <w:tblCellMar>
            <w:top w:w="0" w:type="dxa"/>
            <w:left w:w="108" w:type="dxa"/>
            <w:bottom w:w="0" w:type="dxa"/>
            <w:right w:w="108" w:type="dxa"/>
          </w:tblCellMar>
        </w:tblPrEx>
        <w:trPr>
          <w:trHeight w:val="709" w:hRule="atLeas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E2AF8FB">
            <w:pPr>
              <w:widowControl/>
              <w:spacing w:line="240" w:lineRule="exact"/>
              <w:jc w:val="center"/>
              <w:rPr>
                <w:rFonts w:hint="eastAsia" w:ascii="仿宋" w:hAnsi="仿宋" w:eastAsia="仿宋" w:cs="仿宋"/>
                <w:kern w:val="0"/>
                <w:szCs w:val="21"/>
              </w:rPr>
            </w:pPr>
          </w:p>
        </w:tc>
        <w:tc>
          <w:tcPr>
            <w:tcW w:w="1493" w:type="dxa"/>
            <w:gridSpan w:val="3"/>
            <w:tcBorders>
              <w:top w:val="single" w:color="auto" w:sz="4" w:space="0"/>
              <w:left w:val="nil"/>
              <w:bottom w:val="single" w:color="auto" w:sz="4" w:space="0"/>
              <w:right w:val="single" w:color="auto" w:sz="4" w:space="0"/>
            </w:tcBorders>
            <w:noWrap w:val="0"/>
            <w:vAlign w:val="center"/>
          </w:tcPr>
          <w:p w14:paraId="355B8956">
            <w:pPr>
              <w:widowControl/>
              <w:spacing w:line="240" w:lineRule="exact"/>
              <w:rPr>
                <w:rFonts w:hint="eastAsia" w:ascii="仿宋" w:hAnsi="仿宋" w:eastAsia="仿宋" w:cs="仿宋"/>
                <w:kern w:val="0"/>
                <w:szCs w:val="21"/>
              </w:rPr>
            </w:pPr>
            <w:r>
              <w:rPr>
                <w:rFonts w:hint="eastAsia" w:ascii="仿宋" w:hAnsi="仿宋" w:eastAsia="仿宋" w:cs="仿宋"/>
                <w:kern w:val="0"/>
                <w:szCs w:val="21"/>
              </w:rPr>
              <w:t>上年结转资金</w:t>
            </w:r>
          </w:p>
        </w:tc>
        <w:tc>
          <w:tcPr>
            <w:tcW w:w="1215" w:type="dxa"/>
            <w:tcBorders>
              <w:top w:val="nil"/>
              <w:left w:val="nil"/>
              <w:bottom w:val="single" w:color="auto" w:sz="4" w:space="0"/>
              <w:right w:val="single" w:color="auto" w:sz="4" w:space="0"/>
            </w:tcBorders>
            <w:noWrap w:val="0"/>
            <w:vAlign w:val="center"/>
          </w:tcPr>
          <w:p w14:paraId="0264C6BD">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215" w:type="dxa"/>
            <w:gridSpan w:val="2"/>
            <w:tcBorders>
              <w:top w:val="nil"/>
              <w:left w:val="nil"/>
              <w:bottom w:val="single" w:color="auto" w:sz="4" w:space="0"/>
              <w:right w:val="single" w:color="auto" w:sz="4" w:space="0"/>
            </w:tcBorders>
            <w:noWrap w:val="0"/>
            <w:vAlign w:val="center"/>
          </w:tcPr>
          <w:p w14:paraId="2145C470">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530" w:type="dxa"/>
            <w:gridSpan w:val="2"/>
            <w:tcBorders>
              <w:top w:val="nil"/>
              <w:left w:val="nil"/>
              <w:bottom w:val="single" w:color="auto" w:sz="4" w:space="0"/>
              <w:right w:val="single" w:color="auto" w:sz="4" w:space="0"/>
            </w:tcBorders>
            <w:noWrap w:val="0"/>
            <w:vAlign w:val="center"/>
          </w:tcPr>
          <w:p w14:paraId="402238FD">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155" w:type="dxa"/>
            <w:gridSpan w:val="3"/>
            <w:tcBorders>
              <w:top w:val="nil"/>
              <w:left w:val="nil"/>
              <w:bottom w:val="single" w:color="auto" w:sz="4" w:space="0"/>
              <w:right w:val="single" w:color="auto" w:sz="4" w:space="0"/>
            </w:tcBorders>
            <w:noWrap w:val="0"/>
            <w:vAlign w:val="center"/>
          </w:tcPr>
          <w:p w14:paraId="7C8F79B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146" w:type="dxa"/>
            <w:gridSpan w:val="2"/>
            <w:tcBorders>
              <w:top w:val="single" w:color="auto" w:sz="4" w:space="0"/>
              <w:left w:val="nil"/>
              <w:bottom w:val="single" w:color="auto" w:sz="4" w:space="0"/>
              <w:right w:val="single" w:color="auto" w:sz="4" w:space="0"/>
            </w:tcBorders>
            <w:noWrap w:val="0"/>
            <w:vAlign w:val="center"/>
          </w:tcPr>
          <w:p w14:paraId="69DC7DE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932" w:type="dxa"/>
            <w:tcBorders>
              <w:top w:val="nil"/>
              <w:left w:val="nil"/>
              <w:bottom w:val="single" w:color="auto" w:sz="4" w:space="0"/>
              <w:right w:val="single" w:color="auto" w:sz="4" w:space="0"/>
            </w:tcBorders>
            <w:noWrap w:val="0"/>
            <w:vAlign w:val="center"/>
          </w:tcPr>
          <w:p w14:paraId="0E70F3F1">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r>
      <w:tr w14:paraId="3EADD059">
        <w:tblPrEx>
          <w:tblCellMar>
            <w:top w:w="0" w:type="dxa"/>
            <w:left w:w="108" w:type="dxa"/>
            <w:bottom w:w="0" w:type="dxa"/>
            <w:right w:w="108" w:type="dxa"/>
          </w:tblCellMar>
        </w:tblPrEx>
        <w:trPr>
          <w:trHeight w:val="709" w:hRule="atLeas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EB973D8">
            <w:pPr>
              <w:widowControl/>
              <w:spacing w:line="240" w:lineRule="exact"/>
              <w:jc w:val="center"/>
              <w:rPr>
                <w:rFonts w:hint="eastAsia" w:ascii="仿宋" w:hAnsi="仿宋" w:eastAsia="仿宋" w:cs="仿宋"/>
                <w:kern w:val="0"/>
                <w:szCs w:val="21"/>
              </w:rPr>
            </w:pPr>
          </w:p>
        </w:tc>
        <w:tc>
          <w:tcPr>
            <w:tcW w:w="1493" w:type="dxa"/>
            <w:gridSpan w:val="3"/>
            <w:tcBorders>
              <w:top w:val="single" w:color="auto" w:sz="4" w:space="0"/>
              <w:left w:val="nil"/>
              <w:bottom w:val="single" w:color="auto" w:sz="4" w:space="0"/>
              <w:right w:val="single" w:color="auto" w:sz="4" w:space="0"/>
            </w:tcBorders>
            <w:noWrap w:val="0"/>
            <w:vAlign w:val="center"/>
          </w:tcPr>
          <w:p w14:paraId="1F1BF434">
            <w:pPr>
              <w:widowControl/>
              <w:spacing w:line="240" w:lineRule="exact"/>
              <w:jc w:val="both"/>
              <w:rPr>
                <w:rFonts w:hint="eastAsia" w:ascii="仿宋" w:hAnsi="仿宋" w:eastAsia="仿宋" w:cs="仿宋"/>
                <w:kern w:val="0"/>
                <w:szCs w:val="21"/>
              </w:rPr>
            </w:pPr>
            <w:r>
              <w:rPr>
                <w:rFonts w:hint="eastAsia" w:ascii="仿宋" w:hAnsi="仿宋" w:eastAsia="仿宋" w:cs="仿宋"/>
                <w:kern w:val="0"/>
                <w:szCs w:val="21"/>
              </w:rPr>
              <w:t>其他资金</w:t>
            </w:r>
          </w:p>
        </w:tc>
        <w:tc>
          <w:tcPr>
            <w:tcW w:w="1215" w:type="dxa"/>
            <w:tcBorders>
              <w:top w:val="nil"/>
              <w:left w:val="nil"/>
              <w:bottom w:val="single" w:color="auto" w:sz="4" w:space="0"/>
              <w:right w:val="single" w:color="auto" w:sz="4" w:space="0"/>
            </w:tcBorders>
            <w:noWrap w:val="0"/>
            <w:vAlign w:val="center"/>
          </w:tcPr>
          <w:p w14:paraId="0A836E85">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215" w:type="dxa"/>
            <w:gridSpan w:val="2"/>
            <w:tcBorders>
              <w:top w:val="nil"/>
              <w:left w:val="nil"/>
              <w:bottom w:val="single" w:color="auto" w:sz="4" w:space="0"/>
              <w:right w:val="single" w:color="auto" w:sz="4" w:space="0"/>
            </w:tcBorders>
            <w:noWrap w:val="0"/>
            <w:vAlign w:val="center"/>
          </w:tcPr>
          <w:p w14:paraId="61DE9FC9">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530" w:type="dxa"/>
            <w:gridSpan w:val="2"/>
            <w:tcBorders>
              <w:top w:val="nil"/>
              <w:left w:val="nil"/>
              <w:bottom w:val="single" w:color="auto" w:sz="4" w:space="0"/>
              <w:right w:val="single" w:color="auto" w:sz="4" w:space="0"/>
            </w:tcBorders>
            <w:noWrap w:val="0"/>
            <w:vAlign w:val="center"/>
          </w:tcPr>
          <w:p w14:paraId="0ECA5AE6">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155" w:type="dxa"/>
            <w:gridSpan w:val="3"/>
            <w:tcBorders>
              <w:top w:val="nil"/>
              <w:left w:val="nil"/>
              <w:bottom w:val="single" w:color="auto" w:sz="4" w:space="0"/>
              <w:right w:val="single" w:color="auto" w:sz="4" w:space="0"/>
            </w:tcBorders>
            <w:noWrap w:val="0"/>
            <w:vAlign w:val="center"/>
          </w:tcPr>
          <w:p w14:paraId="1FE43932">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1146" w:type="dxa"/>
            <w:gridSpan w:val="2"/>
            <w:tcBorders>
              <w:top w:val="single" w:color="auto" w:sz="4" w:space="0"/>
              <w:left w:val="nil"/>
              <w:bottom w:val="single" w:color="auto" w:sz="4" w:space="0"/>
              <w:right w:val="single" w:color="auto" w:sz="4" w:space="0"/>
            </w:tcBorders>
            <w:noWrap w:val="0"/>
            <w:vAlign w:val="center"/>
          </w:tcPr>
          <w:p w14:paraId="41C83FF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c>
          <w:tcPr>
            <w:tcW w:w="932" w:type="dxa"/>
            <w:tcBorders>
              <w:top w:val="nil"/>
              <w:left w:val="nil"/>
              <w:bottom w:val="single" w:color="auto" w:sz="4" w:space="0"/>
              <w:right w:val="single" w:color="auto" w:sz="4" w:space="0"/>
            </w:tcBorders>
            <w:noWrap w:val="0"/>
            <w:vAlign w:val="center"/>
          </w:tcPr>
          <w:p w14:paraId="4429C064">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r>
      <w:tr w14:paraId="704B3449">
        <w:tblPrEx>
          <w:tblCellMar>
            <w:top w:w="0" w:type="dxa"/>
            <w:left w:w="108" w:type="dxa"/>
            <w:bottom w:w="0" w:type="dxa"/>
            <w:right w:w="108" w:type="dxa"/>
          </w:tblCellMar>
        </w:tblPrEx>
        <w:trPr>
          <w:trHeight w:val="720" w:hRule="exact"/>
          <w:jc w:val="center"/>
        </w:trPr>
        <w:tc>
          <w:tcPr>
            <w:tcW w:w="1362" w:type="dxa"/>
            <w:gridSpan w:val="2"/>
            <w:vMerge w:val="restart"/>
            <w:tcBorders>
              <w:top w:val="nil"/>
              <w:left w:val="single" w:color="auto" w:sz="4" w:space="0"/>
              <w:bottom w:val="single" w:color="auto" w:sz="4" w:space="0"/>
              <w:right w:val="single" w:color="auto" w:sz="4" w:space="0"/>
            </w:tcBorders>
            <w:noWrap w:val="0"/>
            <w:vAlign w:val="center"/>
          </w:tcPr>
          <w:p w14:paraId="70218E15">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年度总</w:t>
            </w:r>
          </w:p>
          <w:p w14:paraId="1FCB2A5B">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体目标</w:t>
            </w:r>
          </w:p>
        </w:tc>
        <w:tc>
          <w:tcPr>
            <w:tcW w:w="3923" w:type="dxa"/>
            <w:gridSpan w:val="6"/>
            <w:tcBorders>
              <w:top w:val="single" w:color="auto" w:sz="4" w:space="0"/>
              <w:left w:val="nil"/>
              <w:bottom w:val="single" w:color="auto" w:sz="4" w:space="0"/>
              <w:right w:val="single" w:color="auto" w:sz="4" w:space="0"/>
            </w:tcBorders>
            <w:noWrap w:val="0"/>
            <w:vAlign w:val="center"/>
          </w:tcPr>
          <w:p w14:paraId="4E9BFDF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预期目标</w:t>
            </w:r>
          </w:p>
        </w:tc>
        <w:tc>
          <w:tcPr>
            <w:tcW w:w="4763" w:type="dxa"/>
            <w:gridSpan w:val="8"/>
            <w:tcBorders>
              <w:top w:val="single" w:color="auto" w:sz="4" w:space="0"/>
              <w:left w:val="nil"/>
              <w:bottom w:val="single" w:color="auto" w:sz="4" w:space="0"/>
              <w:right w:val="single" w:color="auto" w:sz="4" w:space="0"/>
            </w:tcBorders>
            <w:noWrap w:val="0"/>
            <w:vAlign w:val="center"/>
          </w:tcPr>
          <w:p w14:paraId="6597EAC9">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实际完成情况</w:t>
            </w:r>
          </w:p>
        </w:tc>
      </w:tr>
      <w:tr w14:paraId="6A146CF1">
        <w:tblPrEx>
          <w:tblCellMar>
            <w:top w:w="0" w:type="dxa"/>
            <w:left w:w="108" w:type="dxa"/>
            <w:bottom w:w="0" w:type="dxa"/>
            <w:right w:w="108" w:type="dxa"/>
          </w:tblCellMar>
        </w:tblPrEx>
        <w:trPr>
          <w:trHeight w:val="3740" w:hRule="exact"/>
          <w:jc w:val="center"/>
        </w:trPr>
        <w:tc>
          <w:tcPr>
            <w:tcW w:w="1362" w:type="dxa"/>
            <w:gridSpan w:val="2"/>
            <w:vMerge w:val="continue"/>
            <w:tcBorders>
              <w:top w:val="nil"/>
              <w:left w:val="single" w:color="auto" w:sz="4" w:space="0"/>
              <w:bottom w:val="single" w:color="auto" w:sz="4" w:space="0"/>
              <w:right w:val="single" w:color="auto" w:sz="4" w:space="0"/>
            </w:tcBorders>
            <w:noWrap w:val="0"/>
            <w:vAlign w:val="center"/>
          </w:tcPr>
          <w:p w14:paraId="24527B45">
            <w:pPr>
              <w:widowControl/>
              <w:spacing w:line="240" w:lineRule="exact"/>
              <w:jc w:val="center"/>
              <w:rPr>
                <w:rFonts w:hint="eastAsia" w:ascii="仿宋" w:hAnsi="仿宋" w:eastAsia="仿宋" w:cs="仿宋"/>
                <w:kern w:val="0"/>
                <w:szCs w:val="21"/>
              </w:rPr>
            </w:pPr>
          </w:p>
        </w:tc>
        <w:tc>
          <w:tcPr>
            <w:tcW w:w="3923" w:type="dxa"/>
            <w:gridSpan w:val="6"/>
            <w:tcBorders>
              <w:top w:val="single" w:color="auto" w:sz="4" w:space="0"/>
              <w:left w:val="nil"/>
              <w:bottom w:val="single" w:color="auto" w:sz="4" w:space="0"/>
              <w:right w:val="single" w:color="auto" w:sz="4" w:space="0"/>
            </w:tcBorders>
            <w:noWrap w:val="0"/>
            <w:vAlign w:val="center"/>
          </w:tcPr>
          <w:p w14:paraId="2C0C6FAD">
            <w:pPr>
              <w:widowControl/>
              <w:spacing w:line="240" w:lineRule="exact"/>
              <w:ind w:firstLine="420" w:firstLineChars="200"/>
              <w:rPr>
                <w:rFonts w:hint="eastAsia" w:ascii="仿宋" w:hAnsi="仿宋" w:eastAsia="仿宋" w:cs="仿宋"/>
                <w:kern w:val="0"/>
                <w:szCs w:val="21"/>
              </w:rPr>
            </w:pPr>
            <w:r>
              <w:rPr>
                <w:rFonts w:hint="eastAsia" w:ascii="仿宋" w:hAnsi="仿宋" w:eastAsia="仿宋" w:cs="仿宋"/>
                <w:kern w:val="0"/>
                <w:szCs w:val="21"/>
              </w:rPr>
              <w:t>通过完成本项目，可以进一步加强学校专业教师队伍建设，开展专业教师的能力培养，</w:t>
            </w:r>
            <w:r>
              <w:rPr>
                <w:rFonts w:hint="eastAsia" w:ascii="仿宋" w:hAnsi="仿宋" w:eastAsia="仿宋" w:cs="仿宋"/>
                <w:kern w:val="0"/>
                <w:szCs w:val="21"/>
                <w:lang w:val="en-US" w:eastAsia="zh-CN"/>
              </w:rPr>
              <w:t>组织</w:t>
            </w:r>
            <w:r>
              <w:rPr>
                <w:rFonts w:hint="eastAsia" w:ascii="仿宋" w:hAnsi="仿宋" w:eastAsia="仿宋" w:cs="仿宋"/>
                <w:kern w:val="0"/>
                <w:szCs w:val="21"/>
              </w:rPr>
              <w:t>教师到道地中药材种植基地、药用动物养殖</w:t>
            </w:r>
            <w:r>
              <w:rPr>
                <w:rFonts w:hint="eastAsia" w:ascii="仿宋" w:hAnsi="仿宋" w:eastAsia="仿宋" w:cs="仿宋"/>
                <w:kern w:val="0"/>
                <w:szCs w:val="21"/>
                <w:lang w:val="en-US" w:eastAsia="zh-CN"/>
              </w:rPr>
              <w:t>基地</w:t>
            </w:r>
            <w:r>
              <w:rPr>
                <w:rFonts w:hint="eastAsia" w:ascii="仿宋" w:hAnsi="仿宋" w:eastAsia="仿宋" w:cs="仿宋"/>
                <w:kern w:val="0"/>
                <w:szCs w:val="21"/>
              </w:rPr>
              <w:t>、中药材市场、饮片厂、植物园、中医药博物馆等实地学习，既加强学校与医药行业以及学校与学校之间的合作与交流，</w:t>
            </w:r>
            <w:r>
              <w:rPr>
                <w:rFonts w:hint="eastAsia" w:ascii="仿宋" w:hAnsi="仿宋" w:eastAsia="仿宋" w:cs="仿宋"/>
                <w:kern w:val="0"/>
                <w:szCs w:val="21"/>
                <w:lang w:val="en-US" w:eastAsia="zh-CN"/>
              </w:rPr>
              <w:t>又</w:t>
            </w:r>
            <w:r>
              <w:rPr>
                <w:rFonts w:hint="eastAsia" w:ascii="仿宋" w:hAnsi="仿宋" w:eastAsia="仿宋" w:cs="仿宋"/>
                <w:kern w:val="0"/>
                <w:szCs w:val="21"/>
              </w:rPr>
              <w:t>了解医药行业发展现状，与医药行业搭建“产-学-研”三位一体的交流</w:t>
            </w:r>
            <w:r>
              <w:rPr>
                <w:rFonts w:hint="eastAsia" w:ascii="仿宋" w:hAnsi="仿宋" w:eastAsia="仿宋" w:cs="仿宋"/>
                <w:kern w:val="0"/>
                <w:szCs w:val="21"/>
                <w:lang w:eastAsia="zh-CN"/>
              </w:rPr>
              <w:t>平</w:t>
            </w:r>
            <w:r>
              <w:rPr>
                <w:rFonts w:hint="eastAsia" w:ascii="仿宋" w:hAnsi="仿宋" w:eastAsia="仿宋" w:cs="仿宋"/>
                <w:kern w:val="0"/>
                <w:szCs w:val="21"/>
              </w:rPr>
              <w:t>台。</w:t>
            </w:r>
            <w:r>
              <w:rPr>
                <w:rFonts w:hint="eastAsia" w:ascii="仿宋" w:hAnsi="仿宋" w:eastAsia="仿宋" w:cs="仿宋"/>
                <w:kern w:val="0"/>
                <w:szCs w:val="21"/>
                <w:lang w:val="en-US" w:eastAsia="zh-CN"/>
              </w:rPr>
              <w:t>同时，</w:t>
            </w:r>
            <w:r>
              <w:rPr>
                <w:rFonts w:hint="eastAsia" w:ascii="仿宋" w:hAnsi="仿宋" w:eastAsia="仿宋" w:cs="仿宋"/>
                <w:kern w:val="0"/>
                <w:szCs w:val="21"/>
              </w:rPr>
              <w:t>解决</w:t>
            </w:r>
            <w:r>
              <w:rPr>
                <w:rFonts w:hint="eastAsia" w:ascii="仿宋" w:hAnsi="仿宋" w:eastAsia="仿宋" w:cs="仿宋"/>
                <w:kern w:val="0"/>
                <w:szCs w:val="21"/>
                <w:lang w:val="en-US" w:eastAsia="zh-CN"/>
              </w:rPr>
              <w:t>相关</w:t>
            </w:r>
            <w:r>
              <w:rPr>
                <w:rFonts w:hint="eastAsia" w:ascii="仿宋" w:hAnsi="仿宋" w:eastAsia="仿宋" w:cs="仿宋"/>
                <w:kern w:val="0"/>
                <w:szCs w:val="21"/>
              </w:rPr>
              <w:t>专业建设中比较突出的问题，</w:t>
            </w:r>
            <w:r>
              <w:rPr>
                <w:rFonts w:hint="eastAsia" w:ascii="仿宋" w:hAnsi="仿宋" w:eastAsia="仿宋" w:cs="仿宋"/>
                <w:kern w:val="0"/>
                <w:szCs w:val="21"/>
                <w:lang w:eastAsia="zh-CN"/>
              </w:rPr>
              <w:t>进一步</w:t>
            </w:r>
            <w:r>
              <w:rPr>
                <w:rFonts w:hint="eastAsia" w:ascii="仿宋" w:hAnsi="仿宋" w:eastAsia="仿宋" w:cs="仿宋"/>
                <w:kern w:val="0"/>
                <w:szCs w:val="21"/>
              </w:rPr>
              <w:t>提高</w:t>
            </w:r>
            <w:r>
              <w:rPr>
                <w:rFonts w:hint="eastAsia" w:ascii="仿宋" w:hAnsi="仿宋" w:eastAsia="仿宋" w:cs="仿宋"/>
                <w:kern w:val="0"/>
                <w:szCs w:val="21"/>
                <w:lang w:eastAsia="zh-CN"/>
              </w:rPr>
              <w:t>学</w:t>
            </w:r>
            <w:r>
              <w:rPr>
                <w:rFonts w:hint="eastAsia" w:ascii="仿宋" w:hAnsi="仿宋" w:eastAsia="仿宋" w:cs="仿宋"/>
                <w:kern w:val="0"/>
                <w:szCs w:val="21"/>
              </w:rPr>
              <w:t>校专业教师的教育教学能力。</w:t>
            </w:r>
          </w:p>
        </w:tc>
        <w:tc>
          <w:tcPr>
            <w:tcW w:w="4763" w:type="dxa"/>
            <w:gridSpan w:val="8"/>
            <w:tcBorders>
              <w:top w:val="single" w:color="auto" w:sz="4" w:space="0"/>
              <w:left w:val="nil"/>
              <w:bottom w:val="single" w:color="auto" w:sz="4" w:space="0"/>
              <w:right w:val="single" w:color="auto" w:sz="4" w:space="0"/>
            </w:tcBorders>
            <w:noWrap w:val="0"/>
            <w:vAlign w:val="center"/>
          </w:tcPr>
          <w:p w14:paraId="37C4C1EE">
            <w:pPr>
              <w:widowControl/>
              <w:spacing w:line="240" w:lineRule="exact"/>
              <w:ind w:firstLine="420" w:firstLineChars="200"/>
              <w:rPr>
                <w:rFonts w:hint="eastAsia" w:ascii="仿宋" w:hAnsi="仿宋" w:eastAsia="仿宋" w:cs="仿宋"/>
                <w:kern w:val="0"/>
                <w:szCs w:val="21"/>
                <w:lang w:eastAsia="zh-CN"/>
              </w:rPr>
            </w:pPr>
            <w:r>
              <w:rPr>
                <w:rFonts w:hint="eastAsia" w:ascii="仿宋" w:hAnsi="仿宋" w:eastAsia="仿宋" w:cs="仿宋"/>
                <w:kern w:val="0"/>
                <w:szCs w:val="21"/>
              </w:rPr>
              <w:t>2024年5月</w:t>
            </w:r>
            <w:r>
              <w:rPr>
                <w:rFonts w:hint="eastAsia" w:ascii="仿宋" w:hAnsi="仿宋" w:eastAsia="仿宋" w:cs="仿宋"/>
                <w:kern w:val="0"/>
                <w:szCs w:val="21"/>
                <w:lang w:val="en-US" w:eastAsia="zh-CN"/>
              </w:rPr>
              <w:t>和7月</w:t>
            </w:r>
            <w:r>
              <w:rPr>
                <w:rFonts w:hint="eastAsia" w:ascii="仿宋" w:hAnsi="仿宋" w:eastAsia="仿宋" w:cs="仿宋"/>
                <w:kern w:val="0"/>
                <w:szCs w:val="21"/>
              </w:rPr>
              <w:t>，</w:t>
            </w:r>
            <w:r>
              <w:rPr>
                <w:rFonts w:hint="eastAsia" w:ascii="仿宋" w:hAnsi="仿宋" w:eastAsia="仿宋" w:cs="仿宋"/>
                <w:kern w:val="0"/>
                <w:szCs w:val="21"/>
                <w:lang w:val="en-US" w:eastAsia="zh-CN"/>
              </w:rPr>
              <w:t>分别组织</w:t>
            </w:r>
            <w:r>
              <w:rPr>
                <w:rFonts w:hint="eastAsia" w:ascii="仿宋" w:hAnsi="仿宋" w:eastAsia="仿宋" w:cs="仿宋"/>
                <w:kern w:val="0"/>
                <w:szCs w:val="21"/>
                <w:lang w:eastAsia="zh-CN"/>
              </w:rPr>
              <w:t>学</w:t>
            </w:r>
            <w:r>
              <w:rPr>
                <w:rFonts w:hint="eastAsia" w:ascii="仿宋" w:hAnsi="仿宋" w:eastAsia="仿宋" w:cs="仿宋"/>
                <w:kern w:val="0"/>
                <w:szCs w:val="21"/>
              </w:rPr>
              <w:t>校教师</w:t>
            </w:r>
            <w:r>
              <w:rPr>
                <w:rFonts w:hint="eastAsia" w:ascii="仿宋" w:hAnsi="仿宋" w:eastAsia="仿宋" w:cs="仿宋"/>
                <w:kern w:val="0"/>
                <w:szCs w:val="21"/>
                <w:lang w:val="en-US" w:eastAsia="zh-CN"/>
              </w:rPr>
              <w:t>前往</w:t>
            </w:r>
            <w:r>
              <w:rPr>
                <w:rFonts w:hint="eastAsia" w:ascii="仿宋" w:hAnsi="仿宋" w:eastAsia="仿宋" w:cs="仿宋"/>
                <w:kern w:val="0"/>
                <w:szCs w:val="21"/>
              </w:rPr>
              <w:t>道地中药材种植基地、</w:t>
            </w:r>
            <w:r>
              <w:rPr>
                <w:rFonts w:hint="eastAsia" w:ascii="仿宋" w:hAnsi="仿宋" w:eastAsia="仿宋" w:cs="仿宋"/>
                <w:kern w:val="0"/>
                <w:szCs w:val="21"/>
                <w:lang w:val="en-US" w:eastAsia="zh-CN"/>
              </w:rPr>
              <w:t>药材集散中心、药用植物园、药材加工厂、中药企业以及中医院等实地学习，进一步掌握</w:t>
            </w:r>
            <w:r>
              <w:rPr>
                <w:rFonts w:hint="eastAsia" w:ascii="仿宋" w:hAnsi="仿宋" w:eastAsia="仿宋" w:cs="仿宋"/>
                <w:kern w:val="0"/>
                <w:szCs w:val="21"/>
              </w:rPr>
              <w:t>板桥党参、独活、竹节参、湖北贝母、药用大黄、黄精、黄连、川黄柏、厚朴</w:t>
            </w:r>
            <w:r>
              <w:rPr>
                <w:rFonts w:hint="eastAsia" w:ascii="仿宋" w:hAnsi="仿宋" w:eastAsia="仿宋" w:cs="仿宋"/>
                <w:kern w:val="0"/>
                <w:szCs w:val="21"/>
                <w:lang w:eastAsia="zh-CN"/>
              </w:rPr>
              <w:t>、</w:t>
            </w:r>
            <w:r>
              <w:rPr>
                <w:rFonts w:hint="eastAsia" w:ascii="仿宋" w:hAnsi="仿宋" w:eastAsia="仿宋" w:cs="仿宋"/>
                <w:kern w:val="0"/>
                <w:szCs w:val="21"/>
              </w:rPr>
              <w:t>附子、天麻、林麝、淫羊藿、杜仲、元胡等中药在种植、采收、加工、炮制</w:t>
            </w:r>
            <w:r>
              <w:rPr>
                <w:rFonts w:hint="eastAsia" w:ascii="仿宋" w:hAnsi="仿宋" w:eastAsia="仿宋" w:cs="仿宋"/>
                <w:kern w:val="0"/>
                <w:szCs w:val="21"/>
                <w:lang w:val="en-US" w:eastAsia="zh-CN"/>
              </w:rPr>
              <w:t>和</w:t>
            </w:r>
            <w:r>
              <w:rPr>
                <w:rFonts w:hint="eastAsia" w:ascii="仿宋" w:hAnsi="仿宋" w:eastAsia="仿宋" w:cs="仿宋"/>
                <w:kern w:val="0"/>
                <w:szCs w:val="21"/>
              </w:rPr>
              <w:t>鉴定等方面的</w:t>
            </w:r>
            <w:r>
              <w:rPr>
                <w:rFonts w:hint="eastAsia" w:ascii="仿宋" w:hAnsi="仿宋" w:eastAsia="仿宋" w:cs="仿宋"/>
                <w:kern w:val="0"/>
                <w:szCs w:val="21"/>
                <w:lang w:val="en-US" w:eastAsia="zh-CN"/>
              </w:rPr>
              <w:t>知识内容</w:t>
            </w:r>
            <w:r>
              <w:rPr>
                <w:rFonts w:hint="eastAsia" w:ascii="仿宋" w:hAnsi="仿宋" w:eastAsia="仿宋" w:cs="仿宋"/>
                <w:kern w:val="0"/>
                <w:szCs w:val="21"/>
              </w:rPr>
              <w:t>，解决教学中遇到的疑难问题，提高</w:t>
            </w:r>
            <w:r>
              <w:rPr>
                <w:rFonts w:hint="eastAsia" w:ascii="仿宋" w:hAnsi="仿宋" w:eastAsia="仿宋" w:cs="仿宋"/>
                <w:kern w:val="0"/>
                <w:szCs w:val="21"/>
                <w:lang w:val="en-US" w:eastAsia="zh-CN"/>
              </w:rPr>
              <w:t>教师</w:t>
            </w:r>
            <w:r>
              <w:rPr>
                <w:rFonts w:hint="eastAsia" w:ascii="仿宋" w:hAnsi="仿宋" w:eastAsia="仿宋" w:cs="仿宋"/>
                <w:kern w:val="0"/>
                <w:szCs w:val="21"/>
              </w:rPr>
              <w:t>实践操作能力和专业技术素质，教师们均收获了丰富的</w:t>
            </w:r>
            <w:r>
              <w:rPr>
                <w:rFonts w:hint="eastAsia" w:ascii="仿宋" w:hAnsi="仿宋" w:eastAsia="仿宋" w:cs="仿宋"/>
                <w:kern w:val="0"/>
                <w:szCs w:val="21"/>
                <w:lang w:val="en-US" w:eastAsia="zh-CN"/>
              </w:rPr>
              <w:t>中药</w:t>
            </w:r>
            <w:r>
              <w:rPr>
                <w:rFonts w:hint="eastAsia" w:ascii="仿宋" w:hAnsi="仿宋" w:eastAsia="仿宋" w:cs="仿宋"/>
                <w:kern w:val="0"/>
                <w:szCs w:val="21"/>
              </w:rPr>
              <w:t>知识和宝贵的</w:t>
            </w:r>
            <w:r>
              <w:rPr>
                <w:rFonts w:hint="eastAsia" w:ascii="仿宋" w:hAnsi="仿宋" w:eastAsia="仿宋" w:cs="仿宋"/>
                <w:kern w:val="0"/>
                <w:szCs w:val="21"/>
                <w:lang w:val="en-US" w:eastAsia="zh-CN"/>
              </w:rPr>
              <w:t>学习</w:t>
            </w:r>
            <w:r>
              <w:rPr>
                <w:rFonts w:hint="eastAsia" w:ascii="仿宋" w:hAnsi="仿宋" w:eastAsia="仿宋" w:cs="仿宋"/>
                <w:kern w:val="0"/>
                <w:szCs w:val="21"/>
              </w:rPr>
              <w:t>经验</w:t>
            </w:r>
            <w:r>
              <w:rPr>
                <w:rFonts w:hint="eastAsia" w:ascii="仿宋" w:hAnsi="仿宋" w:eastAsia="仿宋" w:cs="仿宋"/>
                <w:kern w:val="0"/>
                <w:szCs w:val="21"/>
                <w:lang w:eastAsia="zh-CN"/>
              </w:rPr>
              <w:t>。</w:t>
            </w:r>
          </w:p>
        </w:tc>
      </w:tr>
      <w:tr w14:paraId="72BB7E6A">
        <w:tblPrEx>
          <w:tblCellMar>
            <w:top w:w="0" w:type="dxa"/>
            <w:left w:w="108" w:type="dxa"/>
            <w:bottom w:w="0" w:type="dxa"/>
            <w:right w:w="108" w:type="dxa"/>
          </w:tblCellMar>
        </w:tblPrEx>
        <w:trPr>
          <w:trHeight w:val="990" w:hRule="exact"/>
          <w:jc w:val="center"/>
        </w:trPr>
        <w:tc>
          <w:tcPr>
            <w:tcW w:w="1046" w:type="dxa"/>
            <w:vMerge w:val="restart"/>
            <w:tcBorders>
              <w:top w:val="single" w:color="auto" w:sz="4" w:space="0"/>
              <w:left w:val="single" w:color="auto" w:sz="4" w:space="0"/>
              <w:bottom w:val="single" w:color="auto" w:sz="4" w:space="0"/>
              <w:right w:val="single" w:color="auto" w:sz="4" w:space="0"/>
            </w:tcBorders>
            <w:noWrap w:val="0"/>
            <w:vAlign w:val="center"/>
          </w:tcPr>
          <w:p w14:paraId="2EF89DE9">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绩</w:t>
            </w:r>
          </w:p>
          <w:p w14:paraId="34AF215B">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效</w:t>
            </w:r>
          </w:p>
          <w:p w14:paraId="07AE878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指</w:t>
            </w:r>
          </w:p>
          <w:p w14:paraId="6D3CA4B9">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标</w:t>
            </w:r>
          </w:p>
        </w:tc>
        <w:tc>
          <w:tcPr>
            <w:tcW w:w="690" w:type="dxa"/>
            <w:gridSpan w:val="2"/>
            <w:tcBorders>
              <w:top w:val="single" w:color="auto" w:sz="4" w:space="0"/>
              <w:left w:val="single" w:color="auto" w:sz="4" w:space="0"/>
              <w:bottom w:val="single" w:color="auto" w:sz="4" w:space="0"/>
              <w:right w:val="single" w:color="auto" w:sz="4" w:space="0"/>
            </w:tcBorders>
            <w:noWrap w:val="0"/>
            <w:vAlign w:val="center"/>
          </w:tcPr>
          <w:p w14:paraId="1F53C04B">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一级指标</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17717B3">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二级</w:t>
            </w:r>
          </w:p>
          <w:p w14:paraId="5B73D38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指标</w:t>
            </w:r>
          </w:p>
        </w:tc>
        <w:tc>
          <w:tcPr>
            <w:tcW w:w="1869" w:type="dxa"/>
            <w:gridSpan w:val="3"/>
            <w:tcBorders>
              <w:top w:val="single" w:color="auto" w:sz="4" w:space="0"/>
              <w:left w:val="single" w:color="auto" w:sz="4" w:space="0"/>
              <w:bottom w:val="single" w:color="auto" w:sz="4" w:space="0"/>
              <w:right w:val="single" w:color="auto" w:sz="4" w:space="0"/>
            </w:tcBorders>
            <w:noWrap w:val="0"/>
            <w:vAlign w:val="center"/>
          </w:tcPr>
          <w:p w14:paraId="5134CEA3">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三级指标</w:t>
            </w:r>
          </w:p>
        </w:tc>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6C31EE25">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年度</w:t>
            </w:r>
          </w:p>
          <w:p w14:paraId="66766EB3">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指标值</w:t>
            </w:r>
          </w:p>
        </w:tc>
        <w:tc>
          <w:tcPr>
            <w:tcW w:w="1245" w:type="dxa"/>
            <w:gridSpan w:val="2"/>
            <w:tcBorders>
              <w:top w:val="single" w:color="auto" w:sz="4" w:space="0"/>
              <w:left w:val="single" w:color="auto" w:sz="4" w:space="0"/>
              <w:bottom w:val="single" w:color="auto" w:sz="4" w:space="0"/>
              <w:right w:val="single" w:color="auto" w:sz="4" w:space="0"/>
            </w:tcBorders>
            <w:noWrap w:val="0"/>
            <w:vAlign w:val="center"/>
          </w:tcPr>
          <w:p w14:paraId="45B73A6C">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实际</w:t>
            </w:r>
          </w:p>
          <w:p w14:paraId="4E3AF6BC">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完成值</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3E75F57A">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分值</w:t>
            </w: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4371DA42">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得分</w:t>
            </w: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14:paraId="49428F19">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偏差原因分析及改进措施</w:t>
            </w:r>
          </w:p>
        </w:tc>
      </w:tr>
      <w:tr w14:paraId="53DF88CA">
        <w:tblPrEx>
          <w:tblCellMar>
            <w:top w:w="0" w:type="dxa"/>
            <w:left w:w="108" w:type="dxa"/>
            <w:bottom w:w="0" w:type="dxa"/>
            <w:right w:w="108" w:type="dxa"/>
          </w:tblCellMar>
        </w:tblPrEx>
        <w:trPr>
          <w:trHeight w:val="1134" w:hRule="atLeast"/>
          <w:jc w:val="center"/>
        </w:trPr>
        <w:tc>
          <w:tcPr>
            <w:tcW w:w="1046" w:type="dxa"/>
            <w:vMerge w:val="continue"/>
            <w:tcBorders>
              <w:top w:val="single" w:color="auto" w:sz="4" w:space="0"/>
              <w:left w:val="single" w:color="auto" w:sz="4" w:space="0"/>
              <w:bottom w:val="single" w:color="auto" w:sz="4" w:space="0"/>
              <w:right w:val="single" w:color="auto" w:sz="4" w:space="0"/>
            </w:tcBorders>
            <w:noWrap w:val="0"/>
            <w:vAlign w:val="center"/>
          </w:tcPr>
          <w:p w14:paraId="33AD7483">
            <w:pPr>
              <w:widowControl/>
              <w:spacing w:line="240" w:lineRule="exact"/>
              <w:jc w:val="center"/>
              <w:rPr>
                <w:rFonts w:hint="eastAsia" w:ascii="仿宋" w:hAnsi="仿宋" w:eastAsia="仿宋" w:cs="仿宋"/>
                <w:kern w:val="0"/>
                <w:szCs w:val="21"/>
              </w:rPr>
            </w:pPr>
          </w:p>
        </w:tc>
        <w:tc>
          <w:tcPr>
            <w:tcW w:w="69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FE28D81">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产出指标</w:t>
            </w:r>
          </w:p>
        </w:tc>
        <w:tc>
          <w:tcPr>
            <w:tcW w:w="750" w:type="dxa"/>
            <w:vMerge w:val="restart"/>
            <w:tcBorders>
              <w:top w:val="single" w:color="auto" w:sz="4" w:space="0"/>
              <w:left w:val="single" w:color="auto" w:sz="4" w:space="0"/>
              <w:bottom w:val="single" w:color="auto" w:sz="4" w:space="0"/>
              <w:right w:val="single" w:color="auto" w:sz="4" w:space="0"/>
            </w:tcBorders>
            <w:noWrap w:val="0"/>
            <w:vAlign w:val="center"/>
          </w:tcPr>
          <w:p w14:paraId="1C4A61A3">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数量指标</w:t>
            </w:r>
          </w:p>
        </w:tc>
        <w:tc>
          <w:tcPr>
            <w:tcW w:w="1869" w:type="dxa"/>
            <w:gridSpan w:val="3"/>
            <w:tcBorders>
              <w:top w:val="single" w:color="auto" w:sz="4" w:space="0"/>
              <w:left w:val="single" w:color="auto" w:sz="4" w:space="0"/>
              <w:bottom w:val="single" w:color="auto" w:sz="4" w:space="0"/>
              <w:right w:val="single" w:color="auto" w:sz="4" w:space="0"/>
            </w:tcBorders>
            <w:noWrap w:val="0"/>
            <w:vAlign w:val="center"/>
          </w:tcPr>
          <w:p w14:paraId="5B0F556C">
            <w:pPr>
              <w:widowControl/>
              <w:spacing w:line="240" w:lineRule="exact"/>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rPr>
              <w:t>研究成果数量</w:t>
            </w:r>
          </w:p>
        </w:tc>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00A72DA8">
            <w:pPr>
              <w:widowControl/>
              <w:spacing w:line="240" w:lineRule="exact"/>
              <w:jc w:val="center"/>
              <w:rPr>
                <w:rFonts w:hint="eastAsia" w:ascii="仿宋" w:hAnsi="仿宋" w:eastAsia="仿宋" w:cs="仿宋"/>
                <w:kern w:val="0"/>
                <w:szCs w:val="21"/>
              </w:rPr>
            </w:pPr>
            <w:r>
              <w:rPr>
                <w:rFonts w:hint="eastAsia" w:ascii="仿宋" w:hAnsi="仿宋" w:eastAsia="仿宋" w:cs="仿宋"/>
              </w:rPr>
              <w:t>≥ 2</w:t>
            </w:r>
            <w:r>
              <w:rPr>
                <w:rFonts w:hint="eastAsia" w:ascii="仿宋" w:hAnsi="仿宋" w:eastAsia="仿宋" w:cs="仿宋"/>
                <w:color w:val="000000"/>
                <w:kern w:val="0"/>
                <w:szCs w:val="21"/>
                <w:lang w:val="en-US" w:eastAsia="zh-CN"/>
              </w:rPr>
              <w:t>册/期</w:t>
            </w:r>
          </w:p>
        </w:tc>
        <w:tc>
          <w:tcPr>
            <w:tcW w:w="1245" w:type="dxa"/>
            <w:gridSpan w:val="2"/>
            <w:tcBorders>
              <w:top w:val="single" w:color="auto" w:sz="4" w:space="0"/>
              <w:left w:val="single" w:color="auto" w:sz="4" w:space="0"/>
              <w:bottom w:val="single" w:color="auto" w:sz="4" w:space="0"/>
              <w:right w:val="single" w:color="auto" w:sz="4" w:space="0"/>
            </w:tcBorders>
            <w:noWrap w:val="0"/>
            <w:vAlign w:val="center"/>
          </w:tcPr>
          <w:p w14:paraId="4D64F8E2">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2</w:t>
            </w:r>
            <w:r>
              <w:rPr>
                <w:rFonts w:hint="eastAsia" w:ascii="仿宋" w:hAnsi="仿宋" w:eastAsia="仿宋" w:cs="仿宋"/>
                <w:color w:val="000000"/>
                <w:kern w:val="0"/>
                <w:szCs w:val="21"/>
                <w:lang w:val="en-US" w:eastAsia="zh-CN"/>
              </w:rPr>
              <w:t>期</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24A549E">
            <w:pPr>
              <w:widowControl/>
              <w:spacing w:line="240" w:lineRule="exact"/>
              <w:jc w:val="center"/>
              <w:rPr>
                <w:rFonts w:hint="eastAsia" w:ascii="仿宋" w:hAnsi="仿宋" w:eastAsia="仿宋" w:cs="仿宋"/>
                <w:kern w:val="0"/>
                <w:szCs w:val="21"/>
                <w:lang w:val="en-US" w:eastAsia="zh-CN"/>
              </w:rPr>
            </w:pPr>
            <w:r>
              <w:rPr>
                <w:rFonts w:hint="eastAsia" w:ascii="仿宋" w:hAnsi="仿宋" w:eastAsia="仿宋" w:cs="仿宋"/>
                <w:kern w:val="0"/>
                <w:szCs w:val="21"/>
                <w:lang w:eastAsia="zh-CN"/>
              </w:rPr>
              <w:t>1</w:t>
            </w:r>
            <w:r>
              <w:rPr>
                <w:rFonts w:hint="eastAsia" w:ascii="仿宋" w:hAnsi="仿宋" w:eastAsia="仿宋" w:cs="仿宋"/>
                <w:kern w:val="0"/>
                <w:szCs w:val="21"/>
                <w:lang w:val="en-US" w:eastAsia="zh-CN"/>
              </w:rPr>
              <w:t>0</w:t>
            </w: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6A1087E6">
            <w:pPr>
              <w:widowControl/>
              <w:spacing w:line="240" w:lineRule="exact"/>
              <w:jc w:val="center"/>
              <w:rPr>
                <w:rFonts w:hint="eastAsia" w:ascii="仿宋" w:hAnsi="仿宋" w:eastAsia="仿宋" w:cs="仿宋"/>
                <w:kern w:val="0"/>
                <w:szCs w:val="21"/>
                <w:lang w:val="en-US" w:eastAsia="zh-CN"/>
              </w:rPr>
            </w:pPr>
            <w:r>
              <w:rPr>
                <w:rFonts w:hint="eastAsia" w:ascii="仿宋" w:hAnsi="仿宋" w:eastAsia="仿宋" w:cs="仿宋"/>
                <w:kern w:val="0"/>
                <w:szCs w:val="21"/>
                <w:lang w:eastAsia="zh-CN"/>
              </w:rPr>
              <w:t>1</w:t>
            </w:r>
            <w:r>
              <w:rPr>
                <w:rFonts w:hint="eastAsia" w:ascii="仿宋" w:hAnsi="仿宋" w:eastAsia="仿宋" w:cs="仿宋"/>
                <w:kern w:val="0"/>
                <w:szCs w:val="21"/>
                <w:lang w:val="en-US" w:eastAsia="zh-CN"/>
              </w:rPr>
              <w:t>0</w:t>
            </w: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14:paraId="45DDA43D">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r>
      <w:tr w14:paraId="5A4B9C23">
        <w:tblPrEx>
          <w:tblCellMar>
            <w:top w:w="0" w:type="dxa"/>
            <w:left w:w="108" w:type="dxa"/>
            <w:bottom w:w="0" w:type="dxa"/>
            <w:right w:w="108" w:type="dxa"/>
          </w:tblCellMar>
        </w:tblPrEx>
        <w:trPr>
          <w:trHeight w:val="1134" w:hRule="atLeast"/>
          <w:jc w:val="center"/>
        </w:trPr>
        <w:tc>
          <w:tcPr>
            <w:tcW w:w="1046" w:type="dxa"/>
            <w:vMerge w:val="continue"/>
            <w:tcBorders>
              <w:top w:val="single" w:color="auto" w:sz="4" w:space="0"/>
              <w:left w:val="single" w:color="auto" w:sz="4" w:space="0"/>
              <w:bottom w:val="single" w:color="auto" w:sz="4" w:space="0"/>
              <w:right w:val="single" w:color="auto" w:sz="4" w:space="0"/>
            </w:tcBorders>
            <w:noWrap w:val="0"/>
            <w:vAlign w:val="center"/>
          </w:tcPr>
          <w:p w14:paraId="3FE1F82E">
            <w:pPr>
              <w:widowControl/>
              <w:spacing w:line="240" w:lineRule="exact"/>
              <w:jc w:val="center"/>
              <w:rPr>
                <w:rFonts w:hint="eastAsia" w:ascii="仿宋" w:hAnsi="仿宋" w:eastAsia="仿宋" w:cs="仿宋"/>
                <w:kern w:val="0"/>
                <w:szCs w:val="21"/>
              </w:rPr>
            </w:pPr>
          </w:p>
        </w:tc>
        <w:tc>
          <w:tcPr>
            <w:tcW w:w="69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098096B">
            <w:pPr>
              <w:widowControl/>
              <w:spacing w:line="240" w:lineRule="exact"/>
              <w:jc w:val="center"/>
              <w:rPr>
                <w:rFonts w:hint="eastAsia" w:ascii="仿宋" w:hAnsi="仿宋" w:eastAsia="仿宋" w:cs="仿宋"/>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14:paraId="36C70A51">
            <w:pPr>
              <w:widowControl/>
              <w:spacing w:line="240" w:lineRule="exact"/>
              <w:jc w:val="center"/>
              <w:rPr>
                <w:rFonts w:hint="eastAsia" w:ascii="仿宋" w:hAnsi="仿宋" w:eastAsia="仿宋" w:cs="仿宋"/>
                <w:kern w:val="0"/>
                <w:szCs w:val="21"/>
              </w:rPr>
            </w:pPr>
          </w:p>
        </w:tc>
        <w:tc>
          <w:tcPr>
            <w:tcW w:w="1869" w:type="dxa"/>
            <w:gridSpan w:val="3"/>
            <w:tcBorders>
              <w:top w:val="single" w:color="auto" w:sz="4" w:space="0"/>
              <w:left w:val="single" w:color="auto" w:sz="4" w:space="0"/>
              <w:bottom w:val="single" w:color="auto" w:sz="4" w:space="0"/>
              <w:right w:val="single" w:color="auto" w:sz="4" w:space="0"/>
            </w:tcBorders>
            <w:noWrap w:val="0"/>
            <w:vAlign w:val="center"/>
          </w:tcPr>
          <w:p w14:paraId="6B2D8BC8">
            <w:pPr>
              <w:widowControl/>
              <w:spacing w:line="240" w:lineRule="exact"/>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rPr>
              <w:t>学习调研数量</w:t>
            </w:r>
          </w:p>
        </w:tc>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6168C4F8">
            <w:pPr>
              <w:widowControl/>
              <w:spacing w:line="240" w:lineRule="exact"/>
              <w:jc w:val="center"/>
              <w:rPr>
                <w:rFonts w:hint="eastAsia" w:ascii="仿宋" w:hAnsi="仿宋" w:eastAsia="仿宋" w:cs="仿宋"/>
                <w:kern w:val="0"/>
                <w:szCs w:val="21"/>
              </w:rPr>
            </w:pPr>
            <w:r>
              <w:rPr>
                <w:rFonts w:hint="eastAsia" w:ascii="仿宋" w:hAnsi="仿宋" w:eastAsia="仿宋" w:cs="仿宋"/>
              </w:rPr>
              <w:t>＝ 28</w:t>
            </w:r>
            <w:r>
              <w:rPr>
                <w:rFonts w:hint="eastAsia" w:ascii="仿宋" w:hAnsi="仿宋" w:eastAsia="仿宋" w:cs="仿宋"/>
                <w:color w:val="000000"/>
                <w:kern w:val="0"/>
                <w:szCs w:val="21"/>
              </w:rPr>
              <w:t>人次</w:t>
            </w:r>
          </w:p>
        </w:tc>
        <w:tc>
          <w:tcPr>
            <w:tcW w:w="1245" w:type="dxa"/>
            <w:gridSpan w:val="2"/>
            <w:tcBorders>
              <w:top w:val="single" w:color="auto" w:sz="4" w:space="0"/>
              <w:left w:val="single" w:color="auto" w:sz="4" w:space="0"/>
              <w:bottom w:val="single" w:color="auto" w:sz="4" w:space="0"/>
              <w:right w:val="single" w:color="auto" w:sz="4" w:space="0"/>
            </w:tcBorders>
            <w:noWrap w:val="0"/>
            <w:vAlign w:val="center"/>
          </w:tcPr>
          <w:p w14:paraId="033C4056">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28</w:t>
            </w:r>
            <w:r>
              <w:rPr>
                <w:rFonts w:hint="eastAsia" w:ascii="仿宋" w:hAnsi="仿宋" w:eastAsia="仿宋" w:cs="仿宋"/>
                <w:color w:val="000000"/>
                <w:kern w:val="0"/>
                <w:szCs w:val="21"/>
              </w:rPr>
              <w:t>人次</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D9FABE4">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648D2208">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14:paraId="12781AE0">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r>
      <w:tr w14:paraId="5309AD3A">
        <w:tblPrEx>
          <w:tblCellMar>
            <w:top w:w="0" w:type="dxa"/>
            <w:left w:w="108" w:type="dxa"/>
            <w:bottom w:w="0" w:type="dxa"/>
            <w:right w:w="108" w:type="dxa"/>
          </w:tblCellMar>
        </w:tblPrEx>
        <w:trPr>
          <w:trHeight w:val="1194" w:hRule="atLeast"/>
          <w:jc w:val="center"/>
        </w:trPr>
        <w:tc>
          <w:tcPr>
            <w:tcW w:w="1046" w:type="dxa"/>
            <w:vMerge w:val="continue"/>
            <w:tcBorders>
              <w:top w:val="single" w:color="auto" w:sz="4" w:space="0"/>
              <w:left w:val="single" w:color="auto" w:sz="4" w:space="0"/>
              <w:bottom w:val="single" w:color="auto" w:sz="4" w:space="0"/>
              <w:right w:val="single" w:color="auto" w:sz="4" w:space="0"/>
            </w:tcBorders>
            <w:noWrap w:val="0"/>
            <w:vAlign w:val="center"/>
          </w:tcPr>
          <w:p w14:paraId="1632CB66">
            <w:pPr>
              <w:widowControl/>
              <w:spacing w:line="240" w:lineRule="exact"/>
              <w:jc w:val="center"/>
              <w:rPr>
                <w:rFonts w:hint="eastAsia" w:ascii="仿宋" w:hAnsi="仿宋" w:eastAsia="仿宋" w:cs="仿宋"/>
                <w:kern w:val="0"/>
                <w:szCs w:val="21"/>
              </w:rPr>
            </w:pPr>
          </w:p>
        </w:tc>
        <w:tc>
          <w:tcPr>
            <w:tcW w:w="69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00E5E19">
            <w:pPr>
              <w:widowControl/>
              <w:spacing w:line="240" w:lineRule="exact"/>
              <w:jc w:val="center"/>
              <w:rPr>
                <w:rFonts w:hint="eastAsia" w:ascii="仿宋" w:hAnsi="仿宋" w:eastAsia="仿宋" w:cs="仿宋"/>
                <w:kern w:val="0"/>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3F5B4A4E">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质量指标</w:t>
            </w:r>
          </w:p>
        </w:tc>
        <w:tc>
          <w:tcPr>
            <w:tcW w:w="1869" w:type="dxa"/>
            <w:gridSpan w:val="3"/>
            <w:tcBorders>
              <w:top w:val="single" w:color="auto" w:sz="4" w:space="0"/>
              <w:left w:val="single" w:color="auto" w:sz="4" w:space="0"/>
              <w:bottom w:val="single" w:color="auto" w:sz="4" w:space="0"/>
              <w:right w:val="single" w:color="auto" w:sz="4" w:space="0"/>
            </w:tcBorders>
            <w:noWrap w:val="0"/>
            <w:vAlign w:val="center"/>
          </w:tcPr>
          <w:p w14:paraId="72196EA4">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研究成果评审合格率</w:t>
            </w:r>
          </w:p>
        </w:tc>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1EE09EDF">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rPr>
              <w:t xml:space="preserve">≥ </w:t>
            </w:r>
            <w:r>
              <w:rPr>
                <w:rFonts w:hint="eastAsia" w:ascii="仿宋" w:hAnsi="仿宋" w:eastAsia="仿宋" w:cs="仿宋"/>
                <w:color w:val="000000"/>
                <w:kern w:val="0"/>
                <w:szCs w:val="21"/>
                <w:lang w:eastAsia="zh-CN"/>
              </w:rPr>
              <w:t>98%</w:t>
            </w:r>
          </w:p>
        </w:tc>
        <w:tc>
          <w:tcPr>
            <w:tcW w:w="1245" w:type="dxa"/>
            <w:gridSpan w:val="2"/>
            <w:tcBorders>
              <w:top w:val="single" w:color="auto" w:sz="4" w:space="0"/>
              <w:left w:val="single" w:color="auto" w:sz="4" w:space="0"/>
              <w:bottom w:val="single" w:color="auto" w:sz="4" w:space="0"/>
              <w:right w:val="single" w:color="auto" w:sz="4" w:space="0"/>
            </w:tcBorders>
            <w:noWrap w:val="0"/>
            <w:vAlign w:val="center"/>
          </w:tcPr>
          <w:p w14:paraId="4FD5F192">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100%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BE677B8">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3FBCF1B3">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14:paraId="25CA269A">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r>
      <w:tr w14:paraId="2C56F7F5">
        <w:tblPrEx>
          <w:tblCellMar>
            <w:top w:w="0" w:type="dxa"/>
            <w:left w:w="108" w:type="dxa"/>
            <w:bottom w:w="0" w:type="dxa"/>
            <w:right w:w="108" w:type="dxa"/>
          </w:tblCellMar>
        </w:tblPrEx>
        <w:trPr>
          <w:trHeight w:val="1224" w:hRule="atLeast"/>
          <w:jc w:val="center"/>
        </w:trPr>
        <w:tc>
          <w:tcPr>
            <w:tcW w:w="1046" w:type="dxa"/>
            <w:vMerge w:val="continue"/>
            <w:tcBorders>
              <w:top w:val="single" w:color="auto" w:sz="4" w:space="0"/>
              <w:left w:val="single" w:color="auto" w:sz="4" w:space="0"/>
              <w:bottom w:val="single" w:color="auto" w:sz="4" w:space="0"/>
              <w:right w:val="single" w:color="auto" w:sz="4" w:space="0"/>
            </w:tcBorders>
            <w:noWrap w:val="0"/>
            <w:vAlign w:val="center"/>
          </w:tcPr>
          <w:p w14:paraId="68BDC6B8">
            <w:pPr>
              <w:widowControl/>
              <w:spacing w:line="240" w:lineRule="exact"/>
              <w:jc w:val="center"/>
              <w:rPr>
                <w:rFonts w:hint="eastAsia" w:ascii="仿宋" w:hAnsi="仿宋" w:eastAsia="仿宋" w:cs="仿宋"/>
                <w:kern w:val="0"/>
                <w:szCs w:val="21"/>
              </w:rPr>
            </w:pPr>
          </w:p>
        </w:tc>
        <w:tc>
          <w:tcPr>
            <w:tcW w:w="69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531E2EF">
            <w:pPr>
              <w:widowControl/>
              <w:spacing w:line="240" w:lineRule="exact"/>
              <w:jc w:val="center"/>
              <w:rPr>
                <w:rFonts w:hint="eastAsia" w:ascii="仿宋" w:hAnsi="仿宋" w:eastAsia="仿宋" w:cs="仿宋"/>
                <w:kern w:val="0"/>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62AB2B98">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时效指标</w:t>
            </w:r>
          </w:p>
        </w:tc>
        <w:tc>
          <w:tcPr>
            <w:tcW w:w="1869" w:type="dxa"/>
            <w:gridSpan w:val="3"/>
            <w:tcBorders>
              <w:top w:val="single" w:color="auto" w:sz="4" w:space="0"/>
              <w:left w:val="single" w:color="auto" w:sz="4" w:space="0"/>
              <w:bottom w:val="single" w:color="auto" w:sz="4" w:space="0"/>
              <w:right w:val="single" w:color="auto" w:sz="4" w:space="0"/>
            </w:tcBorders>
            <w:noWrap w:val="0"/>
            <w:vAlign w:val="center"/>
          </w:tcPr>
          <w:p w14:paraId="220016B4">
            <w:pPr>
              <w:keepNext w:val="0"/>
              <w:keepLines w:val="0"/>
              <w:widowControl/>
              <w:suppressLineNumbers w:val="0"/>
              <w:jc w:val="center"/>
              <w:textAlignment w:val="center"/>
              <w:rPr>
                <w:rFonts w:hint="eastAsia" w:ascii="仿宋" w:hAnsi="仿宋" w:eastAsia="仿宋" w:cs="仿宋"/>
                <w:color w:val="000000"/>
                <w:kern w:val="0"/>
                <w:szCs w:val="21"/>
              </w:rPr>
            </w:pPr>
            <w:r>
              <w:rPr>
                <w:rFonts w:hint="eastAsia" w:ascii="仿宋" w:hAnsi="仿宋" w:eastAsia="仿宋" w:cs="仿宋"/>
                <w:color w:val="000000"/>
                <w:kern w:val="0"/>
                <w:szCs w:val="21"/>
                <w:lang w:val="en-US" w:eastAsia="zh-CN"/>
              </w:rPr>
              <w:t>研究成果按时结题率</w:t>
            </w:r>
          </w:p>
        </w:tc>
        <w:tc>
          <w:tcPr>
            <w:tcW w:w="1470" w:type="dxa"/>
            <w:gridSpan w:val="2"/>
            <w:tcBorders>
              <w:top w:val="single" w:color="auto" w:sz="4" w:space="0"/>
              <w:left w:val="single" w:color="auto" w:sz="4" w:space="0"/>
              <w:bottom w:val="single" w:color="auto" w:sz="4" w:space="0"/>
              <w:right w:val="single" w:color="auto" w:sz="4" w:space="0"/>
            </w:tcBorders>
            <w:noWrap w:val="0"/>
            <w:vAlign w:val="center"/>
          </w:tcPr>
          <w:p w14:paraId="081AF2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kern w:val="0"/>
                <w:sz w:val="16"/>
                <w:szCs w:val="16"/>
              </w:rPr>
            </w:pPr>
            <w:r>
              <w:rPr>
                <w:rFonts w:hint="eastAsia" w:ascii="仿宋" w:hAnsi="仿宋" w:eastAsia="仿宋" w:cs="仿宋"/>
              </w:rPr>
              <w:t xml:space="preserve">≥ </w:t>
            </w:r>
            <w:r>
              <w:rPr>
                <w:rFonts w:hint="eastAsia" w:ascii="仿宋" w:hAnsi="仿宋" w:eastAsia="仿宋" w:cs="仿宋"/>
                <w:color w:val="000000"/>
                <w:kern w:val="0"/>
                <w:szCs w:val="21"/>
                <w:lang w:eastAsia="zh-CN"/>
              </w:rPr>
              <w:t>98%</w:t>
            </w:r>
          </w:p>
        </w:tc>
        <w:tc>
          <w:tcPr>
            <w:tcW w:w="1245" w:type="dxa"/>
            <w:gridSpan w:val="2"/>
            <w:tcBorders>
              <w:top w:val="single" w:color="auto" w:sz="4" w:space="0"/>
              <w:left w:val="single" w:color="auto" w:sz="4" w:space="0"/>
              <w:bottom w:val="single" w:color="auto" w:sz="4" w:space="0"/>
              <w:right w:val="single" w:color="auto" w:sz="4" w:space="0"/>
            </w:tcBorders>
            <w:noWrap w:val="0"/>
            <w:vAlign w:val="center"/>
          </w:tcPr>
          <w:p w14:paraId="07ADB11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kern w:val="0"/>
                <w:sz w:val="16"/>
                <w:szCs w:val="16"/>
                <w:lang w:eastAsia="zh-CN" w:bidi="ar-SA"/>
              </w:rPr>
            </w:pPr>
            <w:r>
              <w:rPr>
                <w:rFonts w:hint="eastAsia" w:ascii="仿宋" w:hAnsi="仿宋" w:eastAsia="仿宋" w:cs="仿宋"/>
                <w:color w:val="000000"/>
                <w:kern w:val="0"/>
                <w:szCs w:val="21"/>
                <w:lang w:eastAsia="zh-CN"/>
              </w:rPr>
              <w:t>100%</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1C212452">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855" w:type="dxa"/>
            <w:gridSpan w:val="2"/>
            <w:tcBorders>
              <w:top w:val="single" w:color="auto" w:sz="4" w:space="0"/>
              <w:left w:val="single" w:color="auto" w:sz="4" w:space="0"/>
              <w:bottom w:val="single" w:color="auto" w:sz="4" w:space="0"/>
              <w:right w:val="single" w:color="auto" w:sz="4" w:space="0"/>
            </w:tcBorders>
            <w:noWrap w:val="0"/>
            <w:vAlign w:val="center"/>
          </w:tcPr>
          <w:p w14:paraId="04B603B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14:paraId="49A8D17A">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r>
      <w:tr w14:paraId="3643967C">
        <w:tblPrEx>
          <w:tblCellMar>
            <w:top w:w="0" w:type="dxa"/>
            <w:left w:w="108" w:type="dxa"/>
            <w:bottom w:w="0" w:type="dxa"/>
            <w:right w:w="108" w:type="dxa"/>
          </w:tblCellMar>
        </w:tblPrEx>
        <w:trPr>
          <w:trHeight w:val="1274" w:hRule="atLeast"/>
          <w:jc w:val="center"/>
        </w:trPr>
        <w:tc>
          <w:tcPr>
            <w:tcW w:w="1046" w:type="dxa"/>
            <w:vMerge w:val="continue"/>
            <w:tcBorders>
              <w:top w:val="single" w:color="auto" w:sz="4" w:space="0"/>
              <w:left w:val="single" w:color="auto" w:sz="4" w:space="0"/>
              <w:right w:val="single" w:color="auto" w:sz="4" w:space="0"/>
            </w:tcBorders>
            <w:noWrap w:val="0"/>
            <w:vAlign w:val="center"/>
          </w:tcPr>
          <w:p w14:paraId="2E2901BF">
            <w:pPr>
              <w:widowControl/>
              <w:spacing w:line="240" w:lineRule="exact"/>
              <w:jc w:val="center"/>
              <w:rPr>
                <w:rFonts w:hint="eastAsia" w:ascii="仿宋" w:hAnsi="仿宋" w:eastAsia="仿宋" w:cs="仿宋"/>
                <w:kern w:val="0"/>
                <w:szCs w:val="21"/>
              </w:rPr>
            </w:pPr>
          </w:p>
        </w:tc>
        <w:tc>
          <w:tcPr>
            <w:tcW w:w="69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E5F0BB3">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效益指标</w:t>
            </w:r>
          </w:p>
        </w:tc>
        <w:tc>
          <w:tcPr>
            <w:tcW w:w="750" w:type="dxa"/>
            <w:vMerge w:val="restart"/>
            <w:tcBorders>
              <w:top w:val="single" w:color="auto" w:sz="4" w:space="0"/>
              <w:left w:val="single" w:color="auto" w:sz="4" w:space="0"/>
              <w:bottom w:val="single" w:color="auto" w:sz="4" w:space="0"/>
              <w:right w:val="single" w:color="auto" w:sz="4" w:space="0"/>
            </w:tcBorders>
            <w:noWrap w:val="0"/>
            <w:vAlign w:val="center"/>
          </w:tcPr>
          <w:p w14:paraId="244EE3C2">
            <w:pPr>
              <w:widowControl/>
              <w:spacing w:line="240" w:lineRule="exact"/>
              <w:jc w:val="center"/>
              <w:rPr>
                <w:rFonts w:hint="eastAsia" w:ascii="仿宋" w:hAnsi="仿宋" w:eastAsia="仿宋" w:cs="仿宋"/>
                <w:kern w:val="0"/>
                <w:szCs w:val="21"/>
              </w:rPr>
            </w:pPr>
            <w:r>
              <w:rPr>
                <w:rFonts w:hint="eastAsia" w:ascii="仿宋" w:hAnsi="仿宋" w:eastAsia="仿宋" w:cs="仿宋"/>
                <w:i w:val="0"/>
                <w:iCs w:val="0"/>
                <w:color w:val="000000"/>
                <w:kern w:val="0"/>
                <w:sz w:val="20"/>
                <w:szCs w:val="20"/>
                <w:u w:val="none"/>
                <w:lang w:val="en-US" w:eastAsia="zh-CN" w:bidi="ar"/>
              </w:rPr>
              <w:t>社会</w:t>
            </w:r>
            <w:r>
              <w:rPr>
                <w:rFonts w:hint="eastAsia" w:ascii="仿宋" w:hAnsi="仿宋" w:eastAsia="仿宋" w:cs="仿宋"/>
                <w:kern w:val="0"/>
                <w:szCs w:val="21"/>
              </w:rPr>
              <w:t>效益指标</w:t>
            </w:r>
          </w:p>
        </w:tc>
        <w:tc>
          <w:tcPr>
            <w:tcW w:w="1869" w:type="dxa"/>
            <w:gridSpan w:val="3"/>
            <w:tcBorders>
              <w:top w:val="single" w:color="auto" w:sz="4" w:space="0"/>
              <w:left w:val="nil"/>
              <w:right w:val="single" w:color="auto" w:sz="4" w:space="0"/>
            </w:tcBorders>
            <w:noWrap w:val="0"/>
            <w:vAlign w:val="center"/>
          </w:tcPr>
          <w:p w14:paraId="2D350569">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提升教师人才计划品牌效应</w:t>
            </w:r>
          </w:p>
        </w:tc>
        <w:tc>
          <w:tcPr>
            <w:tcW w:w="1470" w:type="dxa"/>
            <w:gridSpan w:val="2"/>
            <w:tcBorders>
              <w:top w:val="single" w:color="auto" w:sz="4" w:space="0"/>
              <w:left w:val="nil"/>
              <w:right w:val="single" w:color="auto" w:sz="4" w:space="0"/>
            </w:tcBorders>
            <w:noWrap w:val="0"/>
            <w:vAlign w:val="center"/>
          </w:tcPr>
          <w:p w14:paraId="58587A56">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优</w:t>
            </w:r>
          </w:p>
        </w:tc>
        <w:tc>
          <w:tcPr>
            <w:tcW w:w="1245" w:type="dxa"/>
            <w:gridSpan w:val="2"/>
            <w:tcBorders>
              <w:top w:val="single" w:color="auto" w:sz="4" w:space="0"/>
              <w:left w:val="nil"/>
              <w:right w:val="single" w:color="auto" w:sz="4" w:space="0"/>
            </w:tcBorders>
            <w:noWrap w:val="0"/>
            <w:vAlign w:val="center"/>
          </w:tcPr>
          <w:p w14:paraId="3727CBA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Cs w:val="21"/>
                <w:lang w:val="en-US" w:eastAsia="zh-CN"/>
              </w:rPr>
              <w:t>优</w:t>
            </w:r>
          </w:p>
        </w:tc>
        <w:tc>
          <w:tcPr>
            <w:tcW w:w="870" w:type="dxa"/>
            <w:tcBorders>
              <w:top w:val="single" w:color="auto" w:sz="4" w:space="0"/>
              <w:left w:val="nil"/>
              <w:right w:val="single" w:color="auto" w:sz="4" w:space="0"/>
            </w:tcBorders>
            <w:noWrap w:val="0"/>
            <w:vAlign w:val="center"/>
          </w:tcPr>
          <w:p w14:paraId="310E0391">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855" w:type="dxa"/>
            <w:gridSpan w:val="2"/>
            <w:tcBorders>
              <w:top w:val="single" w:color="auto" w:sz="4" w:space="0"/>
              <w:left w:val="nil"/>
              <w:right w:val="single" w:color="auto" w:sz="4" w:space="0"/>
            </w:tcBorders>
            <w:noWrap w:val="0"/>
            <w:vAlign w:val="center"/>
          </w:tcPr>
          <w:p w14:paraId="5ED3B3BF">
            <w:pPr>
              <w:widowControl/>
              <w:spacing w:line="240" w:lineRule="exact"/>
              <w:jc w:val="center"/>
              <w:rPr>
                <w:rFonts w:hint="eastAsia" w:ascii="仿宋" w:hAnsi="仿宋" w:eastAsia="仿宋" w:cs="仿宋"/>
                <w:kern w:val="0"/>
                <w:szCs w:val="21"/>
                <w:lang w:eastAsia="zh-CN"/>
              </w:rPr>
            </w:pPr>
            <w:r>
              <w:rPr>
                <w:rFonts w:hint="eastAsia" w:ascii="仿宋" w:hAnsi="仿宋" w:eastAsia="仿宋" w:cs="仿宋"/>
                <w:kern w:val="0"/>
                <w:szCs w:val="21"/>
                <w:lang w:eastAsia="zh-CN"/>
              </w:rPr>
              <w:t>10</w:t>
            </w:r>
          </w:p>
        </w:tc>
        <w:tc>
          <w:tcPr>
            <w:tcW w:w="1253" w:type="dxa"/>
            <w:gridSpan w:val="2"/>
            <w:tcBorders>
              <w:top w:val="single" w:color="auto" w:sz="4" w:space="0"/>
              <w:left w:val="nil"/>
              <w:bottom w:val="single" w:color="auto" w:sz="4" w:space="0"/>
              <w:right w:val="single" w:color="auto" w:sz="4" w:space="0"/>
            </w:tcBorders>
            <w:noWrap w:val="0"/>
            <w:vAlign w:val="center"/>
          </w:tcPr>
          <w:p w14:paraId="59468B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0"/>
                <w:szCs w:val="21"/>
              </w:rPr>
            </w:pPr>
            <w:r>
              <w:rPr>
                <w:rFonts w:hint="eastAsia" w:ascii="仿宋" w:hAnsi="仿宋" w:eastAsia="仿宋" w:cs="仿宋"/>
                <w:kern w:val="0"/>
                <w:szCs w:val="21"/>
              </w:rPr>
              <w:t>—</w:t>
            </w:r>
          </w:p>
        </w:tc>
      </w:tr>
      <w:tr w14:paraId="6BD453FD">
        <w:tblPrEx>
          <w:tblCellMar>
            <w:top w:w="0" w:type="dxa"/>
            <w:left w:w="108" w:type="dxa"/>
            <w:bottom w:w="0" w:type="dxa"/>
            <w:right w:w="108" w:type="dxa"/>
          </w:tblCellMar>
        </w:tblPrEx>
        <w:trPr>
          <w:trHeight w:val="1650" w:hRule="atLeast"/>
          <w:jc w:val="center"/>
        </w:trPr>
        <w:tc>
          <w:tcPr>
            <w:tcW w:w="1046" w:type="dxa"/>
            <w:vMerge w:val="continue"/>
            <w:tcBorders>
              <w:top w:val="single" w:color="auto" w:sz="4" w:space="0"/>
              <w:left w:val="single" w:color="auto" w:sz="4" w:space="0"/>
              <w:right w:val="single" w:color="auto" w:sz="4" w:space="0"/>
            </w:tcBorders>
            <w:noWrap w:val="0"/>
            <w:vAlign w:val="center"/>
          </w:tcPr>
          <w:p w14:paraId="6E186566">
            <w:pPr>
              <w:widowControl/>
              <w:spacing w:line="240" w:lineRule="exact"/>
              <w:jc w:val="center"/>
              <w:rPr>
                <w:rFonts w:hint="eastAsia" w:ascii="仿宋" w:hAnsi="仿宋" w:eastAsia="仿宋" w:cs="仿宋"/>
                <w:kern w:val="0"/>
                <w:szCs w:val="21"/>
              </w:rPr>
            </w:pPr>
          </w:p>
        </w:tc>
        <w:tc>
          <w:tcPr>
            <w:tcW w:w="69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73945A2">
            <w:pPr>
              <w:widowControl/>
              <w:spacing w:line="240" w:lineRule="exact"/>
              <w:jc w:val="center"/>
              <w:rPr>
                <w:rFonts w:hint="eastAsia" w:ascii="仿宋" w:hAnsi="仿宋" w:eastAsia="仿宋" w:cs="仿宋"/>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14:paraId="7A73046D">
            <w:pPr>
              <w:widowControl/>
              <w:spacing w:line="240" w:lineRule="exact"/>
              <w:jc w:val="center"/>
              <w:rPr>
                <w:rFonts w:hint="eastAsia" w:ascii="仿宋" w:hAnsi="仿宋" w:eastAsia="仿宋" w:cs="仿宋"/>
                <w:kern w:val="0"/>
                <w:szCs w:val="21"/>
              </w:rPr>
            </w:pPr>
          </w:p>
        </w:tc>
        <w:tc>
          <w:tcPr>
            <w:tcW w:w="1869" w:type="dxa"/>
            <w:gridSpan w:val="3"/>
            <w:tcBorders>
              <w:top w:val="single" w:color="auto" w:sz="4" w:space="0"/>
              <w:left w:val="nil"/>
              <w:right w:val="single" w:color="auto" w:sz="4" w:space="0"/>
            </w:tcBorders>
            <w:noWrap w:val="0"/>
            <w:vAlign w:val="center"/>
          </w:tcPr>
          <w:p w14:paraId="646C75C3">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研究成果采纳率</w:t>
            </w:r>
          </w:p>
        </w:tc>
        <w:tc>
          <w:tcPr>
            <w:tcW w:w="1470" w:type="dxa"/>
            <w:gridSpan w:val="2"/>
            <w:tcBorders>
              <w:top w:val="single" w:color="auto" w:sz="4" w:space="0"/>
              <w:left w:val="nil"/>
              <w:right w:val="single" w:color="auto" w:sz="4" w:space="0"/>
            </w:tcBorders>
            <w:noWrap w:val="0"/>
            <w:vAlign w:val="center"/>
          </w:tcPr>
          <w:p w14:paraId="7799DDDC">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rPr>
              <w:t xml:space="preserve">≥ </w:t>
            </w:r>
            <w:r>
              <w:rPr>
                <w:rFonts w:hint="eastAsia" w:ascii="仿宋" w:hAnsi="仿宋" w:eastAsia="仿宋" w:cs="仿宋"/>
                <w:color w:val="000000"/>
                <w:kern w:val="0"/>
                <w:szCs w:val="21"/>
                <w:lang w:val="en-US" w:eastAsia="zh-CN"/>
              </w:rPr>
              <w:t>90%</w:t>
            </w:r>
          </w:p>
        </w:tc>
        <w:tc>
          <w:tcPr>
            <w:tcW w:w="1245" w:type="dxa"/>
            <w:gridSpan w:val="2"/>
            <w:tcBorders>
              <w:top w:val="single" w:color="auto" w:sz="4" w:space="0"/>
              <w:left w:val="nil"/>
              <w:right w:val="single" w:color="auto" w:sz="4" w:space="0"/>
            </w:tcBorders>
            <w:noWrap w:val="0"/>
            <w:vAlign w:val="center"/>
          </w:tcPr>
          <w:p w14:paraId="269B237E">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Cs w:val="21"/>
                <w:lang w:eastAsia="zh-CN"/>
              </w:rPr>
              <w:t>8</w:t>
            </w:r>
            <w:r>
              <w:rPr>
                <w:rFonts w:hint="eastAsia" w:ascii="仿宋" w:hAnsi="仿宋" w:eastAsia="仿宋" w:cs="仿宋"/>
                <w:color w:val="000000"/>
                <w:kern w:val="0"/>
                <w:szCs w:val="21"/>
                <w:lang w:val="en-US" w:eastAsia="zh-CN"/>
              </w:rPr>
              <w:t>0%</w:t>
            </w:r>
          </w:p>
        </w:tc>
        <w:tc>
          <w:tcPr>
            <w:tcW w:w="870" w:type="dxa"/>
            <w:tcBorders>
              <w:top w:val="single" w:color="auto" w:sz="4" w:space="0"/>
              <w:left w:val="nil"/>
              <w:right w:val="single" w:color="auto" w:sz="4" w:space="0"/>
            </w:tcBorders>
            <w:noWrap w:val="0"/>
            <w:vAlign w:val="center"/>
          </w:tcPr>
          <w:p w14:paraId="7887041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855" w:type="dxa"/>
            <w:gridSpan w:val="2"/>
            <w:tcBorders>
              <w:top w:val="single" w:color="auto" w:sz="4" w:space="0"/>
              <w:left w:val="nil"/>
              <w:right w:val="single" w:color="auto" w:sz="4" w:space="0"/>
            </w:tcBorders>
            <w:noWrap w:val="0"/>
            <w:vAlign w:val="center"/>
          </w:tcPr>
          <w:p w14:paraId="7CA0D11F">
            <w:pPr>
              <w:widowControl/>
              <w:spacing w:line="240" w:lineRule="exact"/>
              <w:jc w:val="center"/>
              <w:rPr>
                <w:rFonts w:hint="eastAsia" w:ascii="仿宋" w:hAnsi="仿宋" w:eastAsia="仿宋" w:cs="仿宋"/>
                <w:kern w:val="0"/>
                <w:szCs w:val="21"/>
                <w:lang w:eastAsia="zh-CN"/>
              </w:rPr>
            </w:pPr>
            <w:r>
              <w:rPr>
                <w:rFonts w:hint="eastAsia" w:ascii="仿宋" w:hAnsi="仿宋" w:eastAsia="仿宋" w:cs="仿宋"/>
                <w:kern w:val="0"/>
                <w:szCs w:val="21"/>
                <w:lang w:eastAsia="zh-CN"/>
              </w:rPr>
              <w:t>6</w:t>
            </w:r>
          </w:p>
        </w:tc>
        <w:tc>
          <w:tcPr>
            <w:tcW w:w="1253" w:type="dxa"/>
            <w:gridSpan w:val="2"/>
            <w:tcBorders>
              <w:top w:val="single" w:color="auto" w:sz="4" w:space="0"/>
              <w:left w:val="nil"/>
              <w:bottom w:val="single" w:color="auto" w:sz="4" w:space="0"/>
              <w:right w:val="single" w:color="auto" w:sz="4" w:space="0"/>
            </w:tcBorders>
            <w:noWrap w:val="0"/>
            <w:vAlign w:val="center"/>
          </w:tcPr>
          <w:p w14:paraId="197C15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支撑材料不充分，进一步补充完善相关资料。</w:t>
            </w:r>
          </w:p>
        </w:tc>
      </w:tr>
      <w:tr w14:paraId="5B016392">
        <w:tblPrEx>
          <w:tblCellMar>
            <w:top w:w="0" w:type="dxa"/>
            <w:left w:w="108" w:type="dxa"/>
            <w:bottom w:w="0" w:type="dxa"/>
            <w:right w:w="108" w:type="dxa"/>
          </w:tblCellMar>
        </w:tblPrEx>
        <w:trPr>
          <w:trHeight w:val="1241" w:hRule="atLeast"/>
          <w:jc w:val="center"/>
        </w:trPr>
        <w:tc>
          <w:tcPr>
            <w:tcW w:w="1046" w:type="dxa"/>
            <w:vMerge w:val="continue"/>
            <w:tcBorders>
              <w:top w:val="single" w:color="auto" w:sz="4" w:space="0"/>
              <w:left w:val="single" w:color="auto" w:sz="4" w:space="0"/>
              <w:right w:val="single" w:color="auto" w:sz="4" w:space="0"/>
            </w:tcBorders>
            <w:noWrap w:val="0"/>
            <w:vAlign w:val="center"/>
          </w:tcPr>
          <w:p w14:paraId="0164FF3E">
            <w:pPr>
              <w:widowControl/>
              <w:spacing w:line="240" w:lineRule="exact"/>
              <w:jc w:val="left"/>
              <w:rPr>
                <w:rFonts w:hint="eastAsia" w:ascii="仿宋" w:hAnsi="仿宋" w:eastAsia="仿宋" w:cs="仿宋"/>
              </w:rPr>
            </w:pPr>
          </w:p>
        </w:tc>
        <w:tc>
          <w:tcPr>
            <w:tcW w:w="69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D2D870">
            <w:pPr>
              <w:widowControl/>
              <w:spacing w:line="240" w:lineRule="exact"/>
              <w:jc w:val="left"/>
              <w:rPr>
                <w:rFonts w:hint="eastAsia" w:ascii="仿宋" w:hAnsi="仿宋" w:eastAsia="仿宋" w:cs="仿宋"/>
              </w:rPr>
            </w:pPr>
          </w:p>
        </w:tc>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14:paraId="5A657523">
            <w:pPr>
              <w:widowControl/>
              <w:spacing w:line="240" w:lineRule="exact"/>
              <w:jc w:val="center"/>
              <w:rPr>
                <w:rFonts w:hint="eastAsia" w:ascii="仿宋" w:hAnsi="仿宋" w:eastAsia="仿宋" w:cs="仿宋"/>
              </w:rPr>
            </w:pPr>
          </w:p>
        </w:tc>
        <w:tc>
          <w:tcPr>
            <w:tcW w:w="1869" w:type="dxa"/>
            <w:gridSpan w:val="3"/>
            <w:tcBorders>
              <w:top w:val="single" w:color="auto" w:sz="4" w:space="0"/>
              <w:left w:val="nil"/>
              <w:right w:val="single" w:color="auto" w:sz="4" w:space="0"/>
            </w:tcBorders>
            <w:noWrap w:val="0"/>
            <w:vAlign w:val="center"/>
          </w:tcPr>
          <w:p w14:paraId="56235B27">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促进人才培养、科学研究和社会服务协调发展</w:t>
            </w:r>
          </w:p>
        </w:tc>
        <w:tc>
          <w:tcPr>
            <w:tcW w:w="1470" w:type="dxa"/>
            <w:gridSpan w:val="2"/>
            <w:tcBorders>
              <w:top w:val="single" w:color="auto" w:sz="4" w:space="0"/>
              <w:left w:val="nil"/>
              <w:right w:val="single" w:color="auto" w:sz="4" w:space="0"/>
            </w:tcBorders>
            <w:noWrap w:val="0"/>
            <w:vAlign w:val="center"/>
          </w:tcPr>
          <w:p w14:paraId="4FA5C252">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优</w:t>
            </w:r>
          </w:p>
        </w:tc>
        <w:tc>
          <w:tcPr>
            <w:tcW w:w="1245" w:type="dxa"/>
            <w:gridSpan w:val="2"/>
            <w:tcBorders>
              <w:top w:val="single" w:color="auto" w:sz="4" w:space="0"/>
              <w:left w:val="nil"/>
              <w:right w:val="single" w:color="auto" w:sz="4" w:space="0"/>
            </w:tcBorders>
            <w:noWrap w:val="0"/>
            <w:vAlign w:val="center"/>
          </w:tcPr>
          <w:p w14:paraId="59BA341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Cs w:val="21"/>
                <w:lang w:val="en-US" w:eastAsia="zh-CN"/>
              </w:rPr>
              <w:t>优</w:t>
            </w:r>
          </w:p>
        </w:tc>
        <w:tc>
          <w:tcPr>
            <w:tcW w:w="870" w:type="dxa"/>
            <w:tcBorders>
              <w:top w:val="single" w:color="auto" w:sz="4" w:space="0"/>
              <w:left w:val="nil"/>
              <w:right w:val="single" w:color="auto" w:sz="4" w:space="0"/>
            </w:tcBorders>
            <w:noWrap w:val="0"/>
            <w:vAlign w:val="center"/>
          </w:tcPr>
          <w:p w14:paraId="0CD8A304">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855" w:type="dxa"/>
            <w:gridSpan w:val="2"/>
            <w:tcBorders>
              <w:top w:val="single" w:color="auto" w:sz="4" w:space="0"/>
              <w:left w:val="nil"/>
              <w:right w:val="single" w:color="auto" w:sz="4" w:space="0"/>
            </w:tcBorders>
            <w:noWrap w:val="0"/>
            <w:vAlign w:val="center"/>
          </w:tcPr>
          <w:p w14:paraId="611363BA">
            <w:pPr>
              <w:bidi w:val="0"/>
              <w:jc w:val="center"/>
              <w:rPr>
                <w:rFonts w:hint="eastAsia" w:ascii="仿宋" w:hAnsi="仿宋" w:eastAsia="仿宋" w:cs="仿宋"/>
              </w:rPr>
            </w:pPr>
            <w:r>
              <w:rPr>
                <w:rFonts w:hint="eastAsia" w:ascii="仿宋" w:hAnsi="仿宋" w:eastAsia="仿宋" w:cs="仿宋"/>
              </w:rPr>
              <w:t>10</w:t>
            </w:r>
          </w:p>
        </w:tc>
        <w:tc>
          <w:tcPr>
            <w:tcW w:w="1253" w:type="dxa"/>
            <w:gridSpan w:val="2"/>
            <w:tcBorders>
              <w:top w:val="single" w:color="auto" w:sz="4" w:space="0"/>
              <w:left w:val="nil"/>
              <w:bottom w:val="single" w:color="auto" w:sz="4" w:space="0"/>
              <w:right w:val="single" w:color="auto" w:sz="4" w:space="0"/>
            </w:tcBorders>
            <w:noWrap w:val="0"/>
            <w:vAlign w:val="center"/>
          </w:tcPr>
          <w:p w14:paraId="31C32A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Cs w:val="21"/>
              </w:rPr>
              <w:t>—</w:t>
            </w:r>
          </w:p>
        </w:tc>
      </w:tr>
      <w:tr w14:paraId="542D73C7">
        <w:tblPrEx>
          <w:tblCellMar>
            <w:top w:w="0" w:type="dxa"/>
            <w:left w:w="108" w:type="dxa"/>
            <w:bottom w:w="0" w:type="dxa"/>
            <w:right w:w="108" w:type="dxa"/>
          </w:tblCellMar>
        </w:tblPrEx>
        <w:trPr>
          <w:trHeight w:val="1491" w:hRule="atLeast"/>
          <w:jc w:val="center"/>
        </w:trPr>
        <w:tc>
          <w:tcPr>
            <w:tcW w:w="1046" w:type="dxa"/>
            <w:vMerge w:val="continue"/>
            <w:tcBorders>
              <w:left w:val="single" w:color="auto" w:sz="4" w:space="0"/>
              <w:right w:val="single" w:color="auto" w:sz="4" w:space="0"/>
            </w:tcBorders>
            <w:noWrap w:val="0"/>
            <w:vAlign w:val="center"/>
          </w:tcPr>
          <w:p w14:paraId="5A9C0E31">
            <w:pPr>
              <w:widowControl/>
              <w:spacing w:line="240" w:lineRule="exact"/>
              <w:jc w:val="left"/>
              <w:rPr>
                <w:rFonts w:hint="eastAsia" w:ascii="仿宋" w:hAnsi="仿宋" w:eastAsia="仿宋" w:cs="仿宋"/>
                <w:color w:val="000000"/>
                <w:kern w:val="0"/>
                <w:szCs w:val="21"/>
              </w:rPr>
            </w:pPr>
          </w:p>
        </w:tc>
        <w:tc>
          <w:tcPr>
            <w:tcW w:w="69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43686B">
            <w:pPr>
              <w:widowControl/>
              <w:spacing w:line="240" w:lineRule="exact"/>
              <w:jc w:val="left"/>
              <w:rPr>
                <w:rFonts w:hint="eastAsia" w:ascii="仿宋" w:hAnsi="仿宋" w:eastAsia="仿宋" w:cs="仿宋"/>
                <w:color w:val="000000"/>
                <w:kern w:val="0"/>
                <w:szCs w:val="21"/>
              </w:rPr>
            </w:pPr>
          </w:p>
        </w:tc>
        <w:tc>
          <w:tcPr>
            <w:tcW w:w="750" w:type="dxa"/>
            <w:tcBorders>
              <w:top w:val="single" w:color="auto" w:sz="4" w:space="0"/>
              <w:left w:val="single" w:color="auto" w:sz="4" w:space="0"/>
              <w:right w:val="single" w:color="auto" w:sz="4" w:space="0"/>
            </w:tcBorders>
            <w:noWrap w:val="0"/>
            <w:vAlign w:val="center"/>
          </w:tcPr>
          <w:p w14:paraId="77969F11">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可持续影响指标</w:t>
            </w:r>
          </w:p>
        </w:tc>
        <w:tc>
          <w:tcPr>
            <w:tcW w:w="1869" w:type="dxa"/>
            <w:gridSpan w:val="3"/>
            <w:tcBorders>
              <w:top w:val="single" w:color="auto" w:sz="4" w:space="0"/>
              <w:left w:val="nil"/>
              <w:right w:val="single" w:color="auto" w:sz="4" w:space="0"/>
            </w:tcBorders>
            <w:noWrap w:val="0"/>
            <w:vAlign w:val="center"/>
          </w:tcPr>
          <w:p w14:paraId="21C59857">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促进高层次人才队伍为建设高水平大学服务</w:t>
            </w:r>
          </w:p>
        </w:tc>
        <w:tc>
          <w:tcPr>
            <w:tcW w:w="1470" w:type="dxa"/>
            <w:gridSpan w:val="2"/>
            <w:tcBorders>
              <w:top w:val="single" w:color="auto" w:sz="4" w:space="0"/>
              <w:left w:val="nil"/>
              <w:right w:val="single" w:color="auto" w:sz="4" w:space="0"/>
            </w:tcBorders>
            <w:noWrap w:val="0"/>
            <w:vAlign w:val="center"/>
          </w:tcPr>
          <w:p w14:paraId="4AD3B4B4">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优</w:t>
            </w:r>
          </w:p>
        </w:tc>
        <w:tc>
          <w:tcPr>
            <w:tcW w:w="1245" w:type="dxa"/>
            <w:gridSpan w:val="2"/>
            <w:tcBorders>
              <w:top w:val="single" w:color="auto" w:sz="4" w:space="0"/>
              <w:left w:val="nil"/>
              <w:right w:val="single" w:color="auto" w:sz="4" w:space="0"/>
            </w:tcBorders>
            <w:noWrap w:val="0"/>
            <w:vAlign w:val="center"/>
          </w:tcPr>
          <w:p w14:paraId="56272C42">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Cs w:val="21"/>
                <w:lang w:val="en-US" w:eastAsia="zh-CN"/>
              </w:rPr>
              <w:t>优</w:t>
            </w:r>
          </w:p>
        </w:tc>
        <w:tc>
          <w:tcPr>
            <w:tcW w:w="870" w:type="dxa"/>
            <w:tcBorders>
              <w:top w:val="single" w:color="auto" w:sz="4" w:space="0"/>
              <w:left w:val="nil"/>
              <w:right w:val="single" w:color="auto" w:sz="4" w:space="0"/>
            </w:tcBorders>
            <w:noWrap w:val="0"/>
            <w:vAlign w:val="center"/>
          </w:tcPr>
          <w:p w14:paraId="703C0BD4">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855" w:type="dxa"/>
            <w:gridSpan w:val="2"/>
            <w:tcBorders>
              <w:top w:val="single" w:color="auto" w:sz="4" w:space="0"/>
              <w:left w:val="nil"/>
              <w:right w:val="single" w:color="auto" w:sz="4" w:space="0"/>
            </w:tcBorders>
            <w:noWrap w:val="0"/>
            <w:vAlign w:val="center"/>
          </w:tcPr>
          <w:p w14:paraId="5A9182C5">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253" w:type="dxa"/>
            <w:gridSpan w:val="2"/>
            <w:tcBorders>
              <w:top w:val="single" w:color="auto" w:sz="4" w:space="0"/>
              <w:left w:val="nil"/>
              <w:bottom w:val="single" w:color="auto" w:sz="4" w:space="0"/>
              <w:right w:val="single" w:color="auto" w:sz="4" w:space="0"/>
            </w:tcBorders>
            <w:noWrap w:val="0"/>
            <w:vAlign w:val="center"/>
          </w:tcPr>
          <w:p w14:paraId="2DBD7CF3">
            <w:pPr>
              <w:widowControl/>
              <w:spacing w:line="240" w:lineRule="exact"/>
              <w:jc w:val="center"/>
              <w:rPr>
                <w:rFonts w:hint="eastAsia" w:ascii="仿宋" w:hAnsi="仿宋" w:eastAsia="仿宋" w:cs="仿宋"/>
                <w:kern w:val="0"/>
                <w:sz w:val="21"/>
                <w:szCs w:val="21"/>
                <w:lang w:val="en-US" w:eastAsia="zh-CN" w:bidi="ar-SA"/>
              </w:rPr>
            </w:pPr>
            <w:r>
              <w:rPr>
                <w:rFonts w:hint="eastAsia" w:ascii="仿宋" w:hAnsi="仿宋" w:eastAsia="仿宋" w:cs="仿宋"/>
                <w:kern w:val="0"/>
                <w:szCs w:val="21"/>
              </w:rPr>
              <w:t>—</w:t>
            </w:r>
          </w:p>
        </w:tc>
      </w:tr>
      <w:tr w14:paraId="5254F91F">
        <w:tblPrEx>
          <w:tblCellMar>
            <w:top w:w="0" w:type="dxa"/>
            <w:left w:w="108" w:type="dxa"/>
            <w:bottom w:w="0" w:type="dxa"/>
            <w:right w:w="108" w:type="dxa"/>
          </w:tblCellMar>
        </w:tblPrEx>
        <w:trPr>
          <w:trHeight w:val="1321" w:hRule="atLeast"/>
          <w:jc w:val="center"/>
        </w:trPr>
        <w:tc>
          <w:tcPr>
            <w:tcW w:w="1046" w:type="dxa"/>
            <w:vMerge w:val="continue"/>
            <w:tcBorders>
              <w:left w:val="single" w:color="auto" w:sz="4" w:space="0"/>
              <w:right w:val="single" w:color="auto" w:sz="4" w:space="0"/>
            </w:tcBorders>
            <w:noWrap w:val="0"/>
            <w:vAlign w:val="center"/>
          </w:tcPr>
          <w:p w14:paraId="0BDF92E8">
            <w:pPr>
              <w:widowControl/>
              <w:spacing w:line="240" w:lineRule="exact"/>
              <w:jc w:val="left"/>
              <w:rPr>
                <w:rFonts w:hint="eastAsia" w:ascii="仿宋" w:hAnsi="仿宋" w:eastAsia="仿宋" w:cs="仿宋"/>
                <w:color w:val="000000"/>
                <w:kern w:val="0"/>
                <w:szCs w:val="21"/>
              </w:rPr>
            </w:pPr>
          </w:p>
        </w:tc>
        <w:tc>
          <w:tcPr>
            <w:tcW w:w="690" w:type="dxa"/>
            <w:gridSpan w:val="2"/>
            <w:tcBorders>
              <w:top w:val="single" w:color="auto" w:sz="4" w:space="0"/>
              <w:left w:val="single" w:color="auto" w:sz="4" w:space="0"/>
              <w:bottom w:val="single" w:color="auto" w:sz="4" w:space="0"/>
              <w:right w:val="single" w:color="auto" w:sz="4" w:space="0"/>
            </w:tcBorders>
            <w:noWrap w:val="0"/>
            <w:vAlign w:val="center"/>
          </w:tcPr>
          <w:p w14:paraId="66BC9FB1">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成本指标</w:t>
            </w:r>
          </w:p>
        </w:tc>
        <w:tc>
          <w:tcPr>
            <w:tcW w:w="750" w:type="dxa"/>
            <w:tcBorders>
              <w:top w:val="single" w:color="auto" w:sz="4" w:space="0"/>
              <w:left w:val="single" w:color="auto" w:sz="4" w:space="0"/>
              <w:right w:val="single" w:color="auto" w:sz="4" w:space="0"/>
            </w:tcBorders>
            <w:noWrap w:val="0"/>
            <w:vAlign w:val="center"/>
          </w:tcPr>
          <w:p w14:paraId="7C19A7E2">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经济成本指标</w:t>
            </w:r>
          </w:p>
        </w:tc>
        <w:tc>
          <w:tcPr>
            <w:tcW w:w="1869" w:type="dxa"/>
            <w:gridSpan w:val="3"/>
            <w:tcBorders>
              <w:top w:val="single" w:color="auto" w:sz="4" w:space="0"/>
              <w:left w:val="nil"/>
              <w:right w:val="single" w:color="auto" w:sz="4" w:space="0"/>
            </w:tcBorders>
            <w:noWrap w:val="0"/>
            <w:vAlign w:val="center"/>
          </w:tcPr>
          <w:p w14:paraId="45D79F9F">
            <w:pPr>
              <w:widowControl/>
              <w:spacing w:line="240" w:lineRule="exact"/>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项目执行总成本</w:t>
            </w:r>
          </w:p>
        </w:tc>
        <w:tc>
          <w:tcPr>
            <w:tcW w:w="1470" w:type="dxa"/>
            <w:gridSpan w:val="2"/>
            <w:tcBorders>
              <w:top w:val="single" w:color="auto" w:sz="4" w:space="0"/>
              <w:left w:val="nil"/>
              <w:right w:val="single" w:color="auto" w:sz="4" w:space="0"/>
            </w:tcBorders>
            <w:noWrap w:val="0"/>
            <w:vAlign w:val="center"/>
          </w:tcPr>
          <w:p w14:paraId="5681FF32">
            <w:pPr>
              <w:widowControl/>
              <w:spacing w:line="240" w:lineRule="exact"/>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≤21.810200</w:t>
            </w:r>
            <w:r>
              <w:rPr>
                <w:rFonts w:hint="eastAsia" w:ascii="仿宋" w:hAnsi="仿宋" w:eastAsia="仿宋" w:cs="仿宋"/>
                <w:color w:val="000000"/>
                <w:kern w:val="0"/>
                <w:szCs w:val="21"/>
                <w:lang w:eastAsia="zh-CN"/>
              </w:rPr>
              <w:t>万元</w:t>
            </w:r>
          </w:p>
        </w:tc>
        <w:tc>
          <w:tcPr>
            <w:tcW w:w="1245" w:type="dxa"/>
            <w:gridSpan w:val="2"/>
            <w:tcBorders>
              <w:top w:val="single" w:color="auto" w:sz="4" w:space="0"/>
              <w:left w:val="nil"/>
              <w:right w:val="single" w:color="auto" w:sz="4" w:space="0"/>
            </w:tcBorders>
            <w:noWrap w:val="0"/>
            <w:vAlign w:val="center"/>
          </w:tcPr>
          <w:p w14:paraId="104D93C1">
            <w:pPr>
              <w:widowControl/>
              <w:spacing w:line="240" w:lineRule="exact"/>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20.039500万元</w:t>
            </w:r>
          </w:p>
        </w:tc>
        <w:tc>
          <w:tcPr>
            <w:tcW w:w="870" w:type="dxa"/>
            <w:tcBorders>
              <w:top w:val="single" w:color="auto" w:sz="4" w:space="0"/>
              <w:left w:val="nil"/>
              <w:right w:val="single" w:color="auto" w:sz="4" w:space="0"/>
            </w:tcBorders>
            <w:noWrap w:val="0"/>
            <w:vAlign w:val="center"/>
          </w:tcPr>
          <w:p w14:paraId="76AB6C7D">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w:t>
            </w:r>
          </w:p>
        </w:tc>
        <w:tc>
          <w:tcPr>
            <w:tcW w:w="855" w:type="dxa"/>
            <w:gridSpan w:val="2"/>
            <w:tcBorders>
              <w:top w:val="single" w:color="auto" w:sz="4" w:space="0"/>
              <w:left w:val="nil"/>
              <w:right w:val="single" w:color="auto" w:sz="4" w:space="0"/>
            </w:tcBorders>
            <w:noWrap w:val="0"/>
            <w:vAlign w:val="center"/>
          </w:tcPr>
          <w:p w14:paraId="4F61CC02">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w:t>
            </w:r>
          </w:p>
        </w:tc>
        <w:tc>
          <w:tcPr>
            <w:tcW w:w="1253" w:type="dxa"/>
            <w:gridSpan w:val="2"/>
            <w:tcBorders>
              <w:top w:val="single" w:color="auto" w:sz="4" w:space="0"/>
              <w:left w:val="nil"/>
              <w:bottom w:val="single" w:color="auto" w:sz="4" w:space="0"/>
              <w:right w:val="single" w:color="auto" w:sz="4" w:space="0"/>
            </w:tcBorders>
            <w:noWrap w:val="0"/>
            <w:vAlign w:val="center"/>
          </w:tcPr>
          <w:p w14:paraId="004313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Cs w:val="21"/>
              </w:rPr>
              <w:t>—</w:t>
            </w:r>
          </w:p>
        </w:tc>
      </w:tr>
      <w:tr w14:paraId="53654514">
        <w:tblPrEx>
          <w:tblCellMar>
            <w:top w:w="0" w:type="dxa"/>
            <w:left w:w="108" w:type="dxa"/>
            <w:bottom w:w="0" w:type="dxa"/>
            <w:right w:w="108" w:type="dxa"/>
          </w:tblCellMar>
        </w:tblPrEx>
        <w:trPr>
          <w:trHeight w:val="1675" w:hRule="exact"/>
          <w:jc w:val="center"/>
        </w:trPr>
        <w:tc>
          <w:tcPr>
            <w:tcW w:w="1046" w:type="dxa"/>
            <w:vMerge w:val="continue"/>
            <w:tcBorders>
              <w:left w:val="single" w:color="auto" w:sz="4" w:space="0"/>
              <w:bottom w:val="single" w:color="auto" w:sz="4" w:space="0"/>
              <w:right w:val="single" w:color="auto" w:sz="4" w:space="0"/>
            </w:tcBorders>
            <w:shd w:val="clear" w:color="auto" w:fill="auto"/>
            <w:noWrap w:val="0"/>
            <w:vAlign w:val="center"/>
          </w:tcPr>
          <w:p w14:paraId="68AA1D57">
            <w:pPr>
              <w:widowControl/>
              <w:spacing w:line="240" w:lineRule="exact"/>
              <w:jc w:val="center"/>
              <w:rPr>
                <w:rFonts w:hint="eastAsia" w:ascii="仿宋" w:hAnsi="仿宋" w:eastAsia="仿宋" w:cs="仿宋"/>
                <w:kern w:val="0"/>
                <w:szCs w:val="21"/>
              </w:rPr>
            </w:pPr>
          </w:p>
        </w:tc>
        <w:tc>
          <w:tcPr>
            <w:tcW w:w="69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B7AA10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满意度指标</w:t>
            </w:r>
          </w:p>
        </w:tc>
        <w:tc>
          <w:tcPr>
            <w:tcW w:w="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E8F8AC">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服务对象满意度指标</w:t>
            </w:r>
          </w:p>
        </w:tc>
        <w:tc>
          <w:tcPr>
            <w:tcW w:w="1869" w:type="dxa"/>
            <w:gridSpan w:val="3"/>
            <w:tcBorders>
              <w:top w:val="single" w:color="auto" w:sz="4" w:space="0"/>
              <w:left w:val="nil"/>
              <w:bottom w:val="single" w:color="auto" w:sz="4" w:space="0"/>
              <w:right w:val="single" w:color="auto" w:sz="4" w:space="0"/>
            </w:tcBorders>
            <w:shd w:val="clear" w:color="auto" w:fill="auto"/>
            <w:noWrap w:val="0"/>
            <w:vAlign w:val="center"/>
          </w:tcPr>
          <w:p w14:paraId="3C08BE00">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kern w:val="0"/>
                <w:szCs w:val="21"/>
              </w:rPr>
              <w:t>专业教师满意度</w:t>
            </w:r>
          </w:p>
        </w:tc>
        <w:tc>
          <w:tcPr>
            <w:tcW w:w="1470" w:type="dxa"/>
            <w:gridSpan w:val="2"/>
            <w:tcBorders>
              <w:top w:val="single" w:color="auto" w:sz="4" w:space="0"/>
              <w:left w:val="nil"/>
              <w:bottom w:val="single" w:color="auto" w:sz="4" w:space="0"/>
              <w:right w:val="single" w:color="auto" w:sz="4" w:space="0"/>
            </w:tcBorders>
            <w:shd w:val="clear" w:color="auto" w:fill="auto"/>
            <w:noWrap w:val="0"/>
            <w:vAlign w:val="center"/>
          </w:tcPr>
          <w:p w14:paraId="70812808">
            <w:pPr>
              <w:widowControl/>
              <w:spacing w:line="240" w:lineRule="exact"/>
              <w:jc w:val="center"/>
              <w:rPr>
                <w:rFonts w:hint="eastAsia" w:ascii="仿宋" w:hAnsi="仿宋" w:eastAsia="仿宋" w:cs="仿宋"/>
                <w:kern w:val="0"/>
                <w:szCs w:val="21"/>
              </w:rPr>
            </w:pPr>
            <w:r>
              <w:rPr>
                <w:rFonts w:hint="eastAsia" w:ascii="仿宋" w:hAnsi="仿宋" w:eastAsia="仿宋" w:cs="仿宋"/>
              </w:rPr>
              <w:t xml:space="preserve">≥ </w:t>
            </w:r>
            <w:r>
              <w:rPr>
                <w:rFonts w:hint="eastAsia" w:ascii="仿宋" w:hAnsi="仿宋" w:eastAsia="仿宋" w:cs="仿宋"/>
                <w:kern w:val="0"/>
                <w:szCs w:val="21"/>
              </w:rPr>
              <w:t>95%</w:t>
            </w:r>
          </w:p>
        </w:tc>
        <w:tc>
          <w:tcPr>
            <w:tcW w:w="1245" w:type="dxa"/>
            <w:gridSpan w:val="2"/>
            <w:tcBorders>
              <w:top w:val="single" w:color="auto" w:sz="4" w:space="0"/>
              <w:left w:val="nil"/>
              <w:bottom w:val="single" w:color="auto" w:sz="4" w:space="0"/>
              <w:right w:val="single" w:color="auto" w:sz="4" w:space="0"/>
            </w:tcBorders>
            <w:shd w:val="clear" w:color="auto" w:fill="FFFFFF"/>
            <w:noWrap w:val="0"/>
            <w:vAlign w:val="center"/>
          </w:tcPr>
          <w:p w14:paraId="7CD946F8">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100%</w:t>
            </w:r>
          </w:p>
        </w:tc>
        <w:tc>
          <w:tcPr>
            <w:tcW w:w="870" w:type="dxa"/>
            <w:tcBorders>
              <w:top w:val="single" w:color="auto" w:sz="4" w:space="0"/>
              <w:left w:val="nil"/>
              <w:bottom w:val="single" w:color="auto" w:sz="4" w:space="0"/>
              <w:right w:val="single" w:color="auto" w:sz="4" w:space="0"/>
            </w:tcBorders>
            <w:noWrap w:val="0"/>
            <w:vAlign w:val="center"/>
          </w:tcPr>
          <w:p w14:paraId="0240C469">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5</w:t>
            </w:r>
          </w:p>
        </w:tc>
        <w:tc>
          <w:tcPr>
            <w:tcW w:w="855" w:type="dxa"/>
            <w:gridSpan w:val="2"/>
            <w:tcBorders>
              <w:top w:val="single" w:color="auto" w:sz="4" w:space="0"/>
              <w:left w:val="nil"/>
              <w:bottom w:val="single" w:color="auto" w:sz="4" w:space="0"/>
              <w:right w:val="single" w:color="auto" w:sz="4" w:space="0"/>
            </w:tcBorders>
            <w:noWrap w:val="0"/>
            <w:vAlign w:val="center"/>
          </w:tcPr>
          <w:p w14:paraId="0DBD81C2">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5</w:t>
            </w:r>
          </w:p>
        </w:tc>
        <w:tc>
          <w:tcPr>
            <w:tcW w:w="1253" w:type="dxa"/>
            <w:gridSpan w:val="2"/>
            <w:tcBorders>
              <w:top w:val="single" w:color="auto" w:sz="4" w:space="0"/>
              <w:left w:val="nil"/>
              <w:bottom w:val="single" w:color="auto" w:sz="4" w:space="0"/>
              <w:right w:val="single" w:color="auto" w:sz="4" w:space="0"/>
            </w:tcBorders>
            <w:noWrap w:val="0"/>
            <w:vAlign w:val="center"/>
          </w:tcPr>
          <w:p w14:paraId="7CB38437">
            <w:pPr>
              <w:widowControl/>
              <w:spacing w:line="240" w:lineRule="exact"/>
              <w:jc w:val="center"/>
              <w:rPr>
                <w:rFonts w:hint="eastAsia" w:ascii="仿宋" w:hAnsi="仿宋" w:eastAsia="仿宋" w:cs="仿宋"/>
                <w:kern w:val="0"/>
                <w:sz w:val="21"/>
                <w:szCs w:val="21"/>
                <w:lang w:val="en-US" w:eastAsia="zh-CN" w:bidi="ar-SA"/>
              </w:rPr>
            </w:pPr>
            <w:r>
              <w:rPr>
                <w:rFonts w:hint="eastAsia" w:ascii="仿宋" w:hAnsi="仿宋" w:eastAsia="仿宋" w:cs="仿宋"/>
                <w:kern w:val="0"/>
                <w:szCs w:val="21"/>
              </w:rPr>
              <w:t>—</w:t>
            </w:r>
          </w:p>
        </w:tc>
      </w:tr>
      <w:tr w14:paraId="702619D6">
        <w:tblPrEx>
          <w:tblCellMar>
            <w:top w:w="0" w:type="dxa"/>
            <w:left w:w="108" w:type="dxa"/>
            <w:bottom w:w="0" w:type="dxa"/>
            <w:right w:w="108" w:type="dxa"/>
          </w:tblCellMar>
        </w:tblPrEx>
        <w:trPr>
          <w:trHeight w:val="1058" w:hRule="exact"/>
          <w:jc w:val="center"/>
        </w:trPr>
        <w:tc>
          <w:tcPr>
            <w:tcW w:w="7070" w:type="dxa"/>
            <w:gridSpan w:val="11"/>
            <w:tcBorders>
              <w:top w:val="single" w:color="auto" w:sz="4" w:space="0"/>
              <w:left w:val="single" w:color="auto" w:sz="4" w:space="0"/>
              <w:bottom w:val="single" w:color="auto" w:sz="4" w:space="0"/>
              <w:right w:val="single" w:color="auto" w:sz="4" w:space="0"/>
            </w:tcBorders>
            <w:noWrap w:val="0"/>
            <w:vAlign w:val="center"/>
          </w:tcPr>
          <w:p w14:paraId="4C266221">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总分</w:t>
            </w:r>
          </w:p>
        </w:tc>
        <w:tc>
          <w:tcPr>
            <w:tcW w:w="870" w:type="dxa"/>
            <w:tcBorders>
              <w:top w:val="single" w:color="auto" w:sz="4" w:space="0"/>
              <w:left w:val="nil"/>
              <w:bottom w:val="single" w:color="auto" w:sz="4" w:space="0"/>
              <w:right w:val="single" w:color="auto" w:sz="4" w:space="0"/>
            </w:tcBorders>
            <w:noWrap w:val="0"/>
            <w:vAlign w:val="center"/>
          </w:tcPr>
          <w:p w14:paraId="3F7FB3A7">
            <w:pPr>
              <w:widowControl/>
              <w:spacing w:line="240" w:lineRule="exact"/>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855" w:type="dxa"/>
            <w:gridSpan w:val="2"/>
            <w:tcBorders>
              <w:top w:val="single" w:color="auto" w:sz="4" w:space="0"/>
              <w:left w:val="nil"/>
              <w:bottom w:val="single" w:color="auto" w:sz="4" w:space="0"/>
              <w:right w:val="single" w:color="auto" w:sz="4" w:space="0"/>
            </w:tcBorders>
            <w:noWrap w:val="0"/>
            <w:vAlign w:val="center"/>
          </w:tcPr>
          <w:p w14:paraId="4D6A00D8">
            <w:pPr>
              <w:widowControl/>
              <w:spacing w:line="240" w:lineRule="exact"/>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95.99</w:t>
            </w:r>
          </w:p>
        </w:tc>
        <w:tc>
          <w:tcPr>
            <w:tcW w:w="1253" w:type="dxa"/>
            <w:gridSpan w:val="2"/>
            <w:tcBorders>
              <w:top w:val="single" w:color="auto" w:sz="4" w:space="0"/>
              <w:left w:val="nil"/>
              <w:bottom w:val="single" w:color="auto" w:sz="4" w:space="0"/>
              <w:right w:val="single" w:color="auto" w:sz="4" w:space="0"/>
            </w:tcBorders>
            <w:noWrap w:val="0"/>
            <w:vAlign w:val="center"/>
          </w:tcPr>
          <w:p w14:paraId="7019369D">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w:t>
            </w:r>
          </w:p>
        </w:tc>
      </w:tr>
    </w:tbl>
    <w:p w14:paraId="1E785F7C">
      <w:pPr>
        <w:rPr>
          <w:rFonts w:hint="default" w:ascii="Times New Roman" w:hAnsi="Times New Roman"/>
        </w:rPr>
      </w:pPr>
    </w:p>
    <w:p w14:paraId="48C1F10D">
      <w:pPr>
        <w:bidi w:val="0"/>
        <w:rPr>
          <w:rFonts w:hint="eastAsia"/>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0AB3EF-3DA3-41C7-A60A-86B7B5163A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A98F0E1B-EF0E-4E3C-B90D-928C16206261}"/>
  </w:font>
  <w:font w:name="方正仿宋_GB2312">
    <w:panose1 w:val="02000000000000000000"/>
    <w:charset w:val="86"/>
    <w:family w:val="auto"/>
    <w:pitch w:val="default"/>
    <w:sig w:usb0="A00002BF" w:usb1="184F6CFA" w:usb2="00000012" w:usb3="00000000" w:csb0="00040001" w:csb1="00000000"/>
    <w:embedRegular r:id="rId3" w:fontKey="{4A448249-A6A0-4813-A73E-89BB9389BB6A}"/>
  </w:font>
  <w:font w:name="仿宋">
    <w:panose1 w:val="02010609060101010101"/>
    <w:charset w:val="86"/>
    <w:family w:val="auto"/>
    <w:pitch w:val="default"/>
    <w:sig w:usb0="800002BF" w:usb1="38CF7CFA" w:usb2="00000016" w:usb3="00000000" w:csb0="00040001" w:csb1="00000000"/>
    <w:embedRegular r:id="rId4" w:fontKey="{C831820D-26BC-4468-962E-A404AD993E27}"/>
  </w:font>
  <w:font w:name="方正小标宋简体">
    <w:panose1 w:val="02000000000000000000"/>
    <w:charset w:val="86"/>
    <w:family w:val="auto"/>
    <w:pitch w:val="default"/>
    <w:sig w:usb0="00000001" w:usb1="08000000" w:usb2="00000000" w:usb3="00000000" w:csb0="00040000" w:csb1="00000000"/>
    <w:embedRegular r:id="rId5" w:fontKey="{8983D785-E096-4FCF-A198-BDC007D1F423}"/>
  </w:font>
  <w:font w:name="仿宋_GB2312">
    <w:altName w:val="仿宋"/>
    <w:panose1 w:val="02010609030101010101"/>
    <w:charset w:val="86"/>
    <w:family w:val="modern"/>
    <w:pitch w:val="default"/>
    <w:sig w:usb0="00000000" w:usb1="00000000" w:usb2="00000000" w:usb3="00000000" w:csb0="00040000" w:csb1="00000000"/>
    <w:embedRegular r:id="rId6" w:fontKey="{736F730B-4ADA-41FA-A610-6C444AFF801A}"/>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1716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EB021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EB021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338FB"/>
    <w:multiLevelType w:val="singleLevel"/>
    <w:tmpl w:val="AA5338FB"/>
    <w:lvl w:ilvl="0" w:tentative="0">
      <w:start w:val="2"/>
      <w:numFmt w:val="decimal"/>
      <w:suff w:val="space"/>
      <w:lvlText w:val="%1."/>
      <w:lvlJc w:val="left"/>
    </w:lvl>
  </w:abstractNum>
  <w:abstractNum w:abstractNumId="1">
    <w:nsid w:val="FACF5D50"/>
    <w:multiLevelType w:val="singleLevel"/>
    <w:tmpl w:val="FACF5D50"/>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CD"/>
    <w:rsid w:val="002338C7"/>
    <w:rsid w:val="002631CE"/>
    <w:rsid w:val="002C0F41"/>
    <w:rsid w:val="00451EF3"/>
    <w:rsid w:val="006061CD"/>
    <w:rsid w:val="00805C92"/>
    <w:rsid w:val="00886B51"/>
    <w:rsid w:val="00921F17"/>
    <w:rsid w:val="00924F18"/>
    <w:rsid w:val="009B0015"/>
    <w:rsid w:val="009B7E91"/>
    <w:rsid w:val="00A5341F"/>
    <w:rsid w:val="00B67A98"/>
    <w:rsid w:val="00BF7C80"/>
    <w:rsid w:val="00D95369"/>
    <w:rsid w:val="00DA3CED"/>
    <w:rsid w:val="00ED715B"/>
    <w:rsid w:val="03125B78"/>
    <w:rsid w:val="0817778D"/>
    <w:rsid w:val="0A782765"/>
    <w:rsid w:val="0AAA2B3A"/>
    <w:rsid w:val="0AB45767"/>
    <w:rsid w:val="0AE523F9"/>
    <w:rsid w:val="0B6C304D"/>
    <w:rsid w:val="0BC10A71"/>
    <w:rsid w:val="0DC34E14"/>
    <w:rsid w:val="11AE4CBE"/>
    <w:rsid w:val="12887F46"/>
    <w:rsid w:val="13840EA6"/>
    <w:rsid w:val="144A2742"/>
    <w:rsid w:val="15AEB001"/>
    <w:rsid w:val="1BFAEA9F"/>
    <w:rsid w:val="1C5A616E"/>
    <w:rsid w:val="1D93BCFE"/>
    <w:rsid w:val="1ECB5101"/>
    <w:rsid w:val="238E6B57"/>
    <w:rsid w:val="25C428AA"/>
    <w:rsid w:val="288B3BD7"/>
    <w:rsid w:val="28D51396"/>
    <w:rsid w:val="2BDA7E29"/>
    <w:rsid w:val="2DF9330D"/>
    <w:rsid w:val="3102072B"/>
    <w:rsid w:val="317A4765"/>
    <w:rsid w:val="32807B59"/>
    <w:rsid w:val="348A4CBF"/>
    <w:rsid w:val="34C24459"/>
    <w:rsid w:val="3548559F"/>
    <w:rsid w:val="368D6CE8"/>
    <w:rsid w:val="374A2B6A"/>
    <w:rsid w:val="37A61E10"/>
    <w:rsid w:val="380B4369"/>
    <w:rsid w:val="3CDA227C"/>
    <w:rsid w:val="3CFF8675"/>
    <w:rsid w:val="3D5813DD"/>
    <w:rsid w:val="3D937563"/>
    <w:rsid w:val="3DFC8446"/>
    <w:rsid w:val="3EE326B0"/>
    <w:rsid w:val="3F23DE84"/>
    <w:rsid w:val="3FAF5136"/>
    <w:rsid w:val="3FFF2F07"/>
    <w:rsid w:val="41CC737D"/>
    <w:rsid w:val="427E2307"/>
    <w:rsid w:val="43BA102A"/>
    <w:rsid w:val="443F7B57"/>
    <w:rsid w:val="446D0585"/>
    <w:rsid w:val="45352A25"/>
    <w:rsid w:val="477F6E4C"/>
    <w:rsid w:val="47A125F4"/>
    <w:rsid w:val="491C0184"/>
    <w:rsid w:val="4942492D"/>
    <w:rsid w:val="49520049"/>
    <w:rsid w:val="4A7E7809"/>
    <w:rsid w:val="4A8D3982"/>
    <w:rsid w:val="4BEF360E"/>
    <w:rsid w:val="4C5145E8"/>
    <w:rsid w:val="4D043409"/>
    <w:rsid w:val="4D5F03A9"/>
    <w:rsid w:val="4E75E87D"/>
    <w:rsid w:val="4FDF766D"/>
    <w:rsid w:val="50265A9C"/>
    <w:rsid w:val="513071FF"/>
    <w:rsid w:val="53982AFD"/>
    <w:rsid w:val="53F1045F"/>
    <w:rsid w:val="54752E3E"/>
    <w:rsid w:val="55313209"/>
    <w:rsid w:val="554B71F7"/>
    <w:rsid w:val="561B7A15"/>
    <w:rsid w:val="56424FA2"/>
    <w:rsid w:val="566273F2"/>
    <w:rsid w:val="58450D79"/>
    <w:rsid w:val="58793C7C"/>
    <w:rsid w:val="5B3475AF"/>
    <w:rsid w:val="5BD27450"/>
    <w:rsid w:val="5C7F5961"/>
    <w:rsid w:val="5C9D087A"/>
    <w:rsid w:val="5CBD35D4"/>
    <w:rsid w:val="5D5602AD"/>
    <w:rsid w:val="5D7BE830"/>
    <w:rsid w:val="5DFF3047"/>
    <w:rsid w:val="5E9BE179"/>
    <w:rsid w:val="5F2B0CC9"/>
    <w:rsid w:val="5F4A073C"/>
    <w:rsid w:val="5F5B63E8"/>
    <w:rsid w:val="5F7B37E1"/>
    <w:rsid w:val="5FBB60E1"/>
    <w:rsid w:val="5FBF2B77"/>
    <w:rsid w:val="5FBF478F"/>
    <w:rsid w:val="5FF44952"/>
    <w:rsid w:val="60055270"/>
    <w:rsid w:val="62F36B46"/>
    <w:rsid w:val="64292235"/>
    <w:rsid w:val="649738D0"/>
    <w:rsid w:val="65B333D2"/>
    <w:rsid w:val="65CFFB80"/>
    <w:rsid w:val="66F46A73"/>
    <w:rsid w:val="67212256"/>
    <w:rsid w:val="67FE32D6"/>
    <w:rsid w:val="69EFB9F7"/>
    <w:rsid w:val="69F523FA"/>
    <w:rsid w:val="6AC26197"/>
    <w:rsid w:val="6BFE8BD1"/>
    <w:rsid w:val="6DCA78FF"/>
    <w:rsid w:val="6EDC27B1"/>
    <w:rsid w:val="6F20011E"/>
    <w:rsid w:val="6F7F357D"/>
    <w:rsid w:val="6F9D115F"/>
    <w:rsid w:val="6FE9F138"/>
    <w:rsid w:val="6FFBABBA"/>
    <w:rsid w:val="704E7330"/>
    <w:rsid w:val="70BF5DB1"/>
    <w:rsid w:val="70F9BB9C"/>
    <w:rsid w:val="71BF6FBE"/>
    <w:rsid w:val="71E12D67"/>
    <w:rsid w:val="71EA8C0D"/>
    <w:rsid w:val="746FDDF5"/>
    <w:rsid w:val="74C838E9"/>
    <w:rsid w:val="74FF378F"/>
    <w:rsid w:val="75F572BF"/>
    <w:rsid w:val="761262E7"/>
    <w:rsid w:val="773162DD"/>
    <w:rsid w:val="778154D2"/>
    <w:rsid w:val="77BF5FFA"/>
    <w:rsid w:val="77BFE65E"/>
    <w:rsid w:val="77D702F5"/>
    <w:rsid w:val="77FFC34F"/>
    <w:rsid w:val="79254583"/>
    <w:rsid w:val="796E1A86"/>
    <w:rsid w:val="79BEFCAD"/>
    <w:rsid w:val="7A5D82BA"/>
    <w:rsid w:val="7ADFBB02"/>
    <w:rsid w:val="7B7FBE6C"/>
    <w:rsid w:val="7B7FF059"/>
    <w:rsid w:val="7BB1BB30"/>
    <w:rsid w:val="7BFF7000"/>
    <w:rsid w:val="7D1E67A5"/>
    <w:rsid w:val="7DEF56A0"/>
    <w:rsid w:val="7DFF3A2E"/>
    <w:rsid w:val="7E277439"/>
    <w:rsid w:val="7E6DF06C"/>
    <w:rsid w:val="7E7D0FD5"/>
    <w:rsid w:val="7ED1786A"/>
    <w:rsid w:val="7EE616C4"/>
    <w:rsid w:val="7F315A30"/>
    <w:rsid w:val="7F7B9C03"/>
    <w:rsid w:val="7FBC16F9"/>
    <w:rsid w:val="7FEEA4D0"/>
    <w:rsid w:val="7FEFDE59"/>
    <w:rsid w:val="7FF7425F"/>
    <w:rsid w:val="97333AAB"/>
    <w:rsid w:val="9CFF1809"/>
    <w:rsid w:val="A642F545"/>
    <w:rsid w:val="A8FFF00E"/>
    <w:rsid w:val="B4FEEFBB"/>
    <w:rsid w:val="B5E79028"/>
    <w:rsid w:val="B63E056F"/>
    <w:rsid w:val="BE755FC9"/>
    <w:rsid w:val="BEAE0747"/>
    <w:rsid w:val="BEE394F9"/>
    <w:rsid w:val="BEF77C92"/>
    <w:rsid w:val="C37E46E3"/>
    <w:rsid w:val="CF77A2C8"/>
    <w:rsid w:val="D9FF1871"/>
    <w:rsid w:val="DBF18415"/>
    <w:rsid w:val="DBFF1ABF"/>
    <w:rsid w:val="DEDE7A8F"/>
    <w:rsid w:val="DFAFDE82"/>
    <w:rsid w:val="DFEF95A2"/>
    <w:rsid w:val="DFFFB069"/>
    <w:rsid w:val="E6FB762F"/>
    <w:rsid w:val="EAF605B9"/>
    <w:rsid w:val="EAFB45BB"/>
    <w:rsid w:val="EF3F8A3A"/>
    <w:rsid w:val="EFF39E35"/>
    <w:rsid w:val="EFFB78D7"/>
    <w:rsid w:val="F7AE60ED"/>
    <w:rsid w:val="F7BEAD21"/>
    <w:rsid w:val="F7D52C26"/>
    <w:rsid w:val="F7DF223C"/>
    <w:rsid w:val="F96D3281"/>
    <w:rsid w:val="F9DE3673"/>
    <w:rsid w:val="FBEE5890"/>
    <w:rsid w:val="FD178F7E"/>
    <w:rsid w:val="FDC90707"/>
    <w:rsid w:val="FDFF5B0D"/>
    <w:rsid w:val="FE778649"/>
    <w:rsid w:val="FEE9D4D7"/>
    <w:rsid w:val="FF717FBB"/>
    <w:rsid w:val="FFB939A2"/>
    <w:rsid w:val="FFD56CB6"/>
    <w:rsid w:val="FFE1E66C"/>
    <w:rsid w:val="FFE3AF75"/>
    <w:rsid w:val="FFE5029A"/>
    <w:rsid w:val="FFECC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Document Map"/>
    <w:basedOn w:val="1"/>
    <w:qFormat/>
    <w:uiPriority w:val="0"/>
    <w:pPr>
      <w:shd w:val="clear" w:color="auto" w:fill="000080"/>
    </w:pPr>
  </w:style>
  <w:style w:type="paragraph" w:styleId="5">
    <w:name w:val="footer"/>
    <w:basedOn w:val="1"/>
    <w:qFormat/>
    <w:uiPriority w:val="99"/>
    <w:pPr>
      <w:tabs>
        <w:tab w:val="center" w:pos="4153"/>
        <w:tab w:val="right" w:pos="8306"/>
      </w:tabs>
      <w:snapToGrid w:val="0"/>
      <w:jc w:val="left"/>
    </w:pPr>
    <w:rPr>
      <w:sz w:val="18"/>
      <w:szCs w:val="20"/>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color w:val="000000"/>
      <w:sz w:val="20"/>
      <w:szCs w:val="20"/>
      <w:u w:val="none"/>
    </w:rPr>
  </w:style>
  <w:style w:type="character" w:customStyle="1" w:styleId="11">
    <w:name w:val="font21"/>
    <w:basedOn w:val="9"/>
    <w:qFormat/>
    <w:uiPriority w:val="0"/>
    <w:rPr>
      <w:rFonts w:hint="eastAsia" w:ascii="宋体" w:hAnsi="宋体" w:eastAsia="宋体" w:cs="宋体"/>
      <w:color w:val="000000"/>
      <w:sz w:val="18"/>
      <w:szCs w:val="18"/>
      <w:u w:val="none"/>
    </w:rPr>
  </w:style>
  <w:style w:type="paragraph" w:customStyle="1" w:styleId="12">
    <w:name w:val="仿宋GB2312"/>
    <w:basedOn w:val="1"/>
    <w:autoRedefine/>
    <w:qFormat/>
    <w:uiPriority w:val="0"/>
    <w:pPr>
      <w:spacing w:line="360" w:lineRule="auto"/>
      <w:ind w:left="420" w:leftChars="200" w:firstLine="420"/>
    </w:pPr>
    <w:rPr>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bjyyjy</Company>
  <Pages>13</Pages>
  <Words>6247</Words>
  <Characters>6564</Characters>
  <Lines>2</Lines>
  <Paragraphs>1</Paragraphs>
  <TotalTime>16</TotalTime>
  <ScaleCrop>false</ScaleCrop>
  <LinksUpToDate>false</LinksUpToDate>
  <CharactersWithSpaces>6580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2024-05-07T05:27:00Z</dcterms:created>
  <dc:creator>USER</dc:creator>
  <cp:lastModifiedBy>WPS_1640300884</cp:lastModifiedBy>
  <dcterms:modified xsi:type="dcterms:W3CDTF">2025-08-27T14:12:22Z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4E1598EFEDCD410AA2BB3A422BB0F5D8_13</vt:lpwstr>
  </property>
  <property fmtid="{D5CDD505-2E9C-101B-9397-08002B2CF9AE}" pid="4" name="KSOTemplateDocerSaveRecord">
    <vt:lpwstr>eyJoZGlkIjoiMDdjNDZjNDE1NDE1NzQzNGYyNmRlNjQ0MmI2ZTExZjAiLCJ1c2VySWQiOiIxMzA2MTY0ODc4In0=</vt:lpwstr>
  </property>
</Properties>
</file>